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jc w:val="center"/>
        <w:tblLayout w:type="fixed"/>
        <w:tblLook w:val="01E0" w:firstRow="1" w:lastRow="1" w:firstColumn="1" w:lastColumn="1" w:noHBand="0" w:noVBand="0"/>
      </w:tblPr>
      <w:tblGrid>
        <w:gridCol w:w="5450"/>
        <w:gridCol w:w="3452"/>
      </w:tblGrid>
      <w:tr w:rsidR="00476E17" w14:paraId="655F8960" w14:textId="77777777" w:rsidTr="0082495D">
        <w:trPr>
          <w:trHeight w:val="1952"/>
          <w:jc w:val="center"/>
        </w:trPr>
        <w:tc>
          <w:tcPr>
            <w:tcW w:w="5450" w:type="dxa"/>
          </w:tcPr>
          <w:p w14:paraId="1E7B041F" w14:textId="77777777" w:rsidR="00476E17" w:rsidRDefault="00242528" w:rsidP="0082495D">
            <w:r>
              <w:rPr>
                <w:noProof/>
              </w:rPr>
              <w:drawing>
                <wp:inline distT="0" distB="0" distL="0" distR="0" wp14:anchorId="406950B3" wp14:editId="511C81C7">
                  <wp:extent cx="2084832" cy="1393321"/>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2109118" cy="1409552"/>
                          </a:xfrm>
                          <a:prstGeom prst="rect">
                            <a:avLst/>
                          </a:prstGeom>
                        </pic:spPr>
                      </pic:pic>
                    </a:graphicData>
                  </a:graphic>
                </wp:inline>
              </w:drawing>
            </w:r>
          </w:p>
        </w:tc>
        <w:tc>
          <w:tcPr>
            <w:tcW w:w="3452" w:type="dxa"/>
          </w:tcPr>
          <w:p w14:paraId="44434FF7" w14:textId="77777777" w:rsidR="00476E17" w:rsidRDefault="00242528" w:rsidP="0082495D">
            <w:r>
              <w:rPr>
                <w:noProof/>
              </w:rPr>
              <w:drawing>
                <wp:inline distT="0" distB="0" distL="0" distR="0" wp14:anchorId="5E3B89B1" wp14:editId="0F8EDA4E">
                  <wp:extent cx="1333500" cy="1280160"/>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1338380" cy="1284845"/>
                          </a:xfrm>
                          <a:prstGeom prst="rect">
                            <a:avLst/>
                          </a:prstGeom>
                        </pic:spPr>
                      </pic:pic>
                    </a:graphicData>
                  </a:graphic>
                </wp:inline>
              </w:drawing>
            </w:r>
          </w:p>
        </w:tc>
      </w:tr>
    </w:tbl>
    <w:p w14:paraId="3DB50AFD" w14:textId="77777777" w:rsidR="00476E17" w:rsidRDefault="00242528" w:rsidP="009F098A">
      <w:r>
        <w:t>Un ALI (Amplificateur Linéaire Intégré) est un CI analogique.</w:t>
      </w:r>
    </w:p>
    <w:p w14:paraId="65735078" w14:textId="77777777" w:rsidR="00476E17" w:rsidRDefault="00242528" w:rsidP="009F098A">
      <w:r>
        <w:t xml:space="preserve">Les ALI étaient aussi appelés AOP ou Ampli OP (Amplificateur </w:t>
      </w:r>
      <w:proofErr w:type="spellStart"/>
      <w:r>
        <w:t>OPérationnel</w:t>
      </w:r>
      <w:proofErr w:type="spellEnd"/>
      <w:r>
        <w:t>) parce qu’ils servaient à réaliser des opérations mathématiques (addition, soustraction, multiplication, division, intégration et dérivation) pour le calcul analogique. Il s’agit d’un des composants les plus importants de l’électronique analogique.</w:t>
      </w:r>
    </w:p>
    <w:p w14:paraId="1C424B24" w14:textId="77777777" w:rsidR="009F098A" w:rsidRDefault="009F098A" w:rsidP="009F098A">
      <w:pPr>
        <w:pStyle w:val="Titre1"/>
      </w:pPr>
      <w:r>
        <w:t>SYMBOLES, RÔLE ET CARACTÉRISTIQUES</w:t>
      </w:r>
    </w:p>
    <w:p w14:paraId="3FFCBBB9" w14:textId="77777777" w:rsidR="009F098A" w:rsidRDefault="00242528" w:rsidP="009F098A">
      <w:pPr>
        <w:jc w:val="center"/>
      </w:pPr>
      <w:r>
        <w:rPr>
          <w:noProof/>
        </w:rPr>
        <w:drawing>
          <wp:inline distT="0" distB="0" distL="0" distR="0" wp14:anchorId="4D71F103" wp14:editId="23FEF95F">
            <wp:extent cx="4223555" cy="1509522"/>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3555" cy="1509522"/>
                    </a:xfrm>
                    <a:prstGeom prst="rect">
                      <a:avLst/>
                    </a:prstGeom>
                  </pic:spPr>
                </pic:pic>
              </a:graphicData>
            </a:graphic>
          </wp:inline>
        </w:drawing>
      </w:r>
    </w:p>
    <w:p w14:paraId="1F0BB3A8" w14:textId="07B1830A" w:rsidR="00476E17" w:rsidRDefault="00242528" w:rsidP="009F098A">
      <w:r>
        <w:t>Le composant possède deux entrées : une entrée non inverseuse (+), une entrée inverseuse (-) et une sortie. Il se présente sous la forme d’un boitier à huit broches (DIL 8).</w:t>
      </w:r>
    </w:p>
    <w:p w14:paraId="1EF7EE54" w14:textId="77777777" w:rsidR="00476E17" w:rsidRDefault="00242528" w:rsidP="009F098A">
      <w:r>
        <w:t>Les bornes d’alimentation ne sont en général pas représentées.</w:t>
      </w:r>
    </w:p>
    <w:p w14:paraId="3228D398" w14:textId="77777777" w:rsidR="00476E17" w:rsidRDefault="00242528" w:rsidP="009F098A">
      <w:r>
        <w:t xml:space="preserve">Un ALI permet d’amplifier la différence de potentiel « </w:t>
      </w:r>
      <w:r>
        <w:rPr>
          <w:b/>
        </w:rPr>
        <w:t xml:space="preserve">e </w:t>
      </w:r>
      <w:r>
        <w:t>» entre les 2 tensions d’entrées (Ve- et Ve+).</w:t>
      </w:r>
    </w:p>
    <w:p w14:paraId="634A2C68" w14:textId="77777777" w:rsidR="00476E17" w:rsidRDefault="00242528" w:rsidP="009F098A">
      <w:pPr>
        <w:rPr>
          <w:b/>
        </w:rPr>
      </w:pPr>
      <w:r>
        <w:t xml:space="preserve">La tension d’entrée différentielle du montage « </w:t>
      </w:r>
      <w:r>
        <w:rPr>
          <w:b/>
        </w:rPr>
        <w:t xml:space="preserve">e </w:t>
      </w:r>
      <w:r>
        <w:t xml:space="preserve">» est : </w:t>
      </w:r>
      <w:r>
        <w:rPr>
          <w:b/>
        </w:rPr>
        <w:t>e = Ve+ - Ve-</w:t>
      </w:r>
    </w:p>
    <w:p w14:paraId="3D0C91FF" w14:textId="77777777" w:rsidR="00476E17" w:rsidRDefault="00242528" w:rsidP="009F098A">
      <w:r>
        <w:t>Remarque :</w:t>
      </w:r>
    </w:p>
    <w:p w14:paraId="2649C113" w14:textId="7FDAE736" w:rsidR="00476E17" w:rsidRDefault="00242528" w:rsidP="009F098A">
      <w:r>
        <w:t xml:space="preserve">La tension d’entrée différentielle est parfois repérée : </w:t>
      </w:r>
      <w:proofErr w:type="spellStart"/>
      <w:r>
        <w:rPr>
          <w:b/>
        </w:rPr>
        <w:t>Ved</w:t>
      </w:r>
      <w:proofErr w:type="spellEnd"/>
      <w:r>
        <w:rPr>
          <w:b/>
        </w:rPr>
        <w:t xml:space="preserve"> </w:t>
      </w:r>
      <w:r>
        <w:t xml:space="preserve">ou </w:t>
      </w:r>
      <w:r>
        <w:rPr>
          <w:rFonts w:ascii="Symbol" w:hAnsi="Symbol"/>
          <w:b/>
          <w:sz w:val="32"/>
        </w:rPr>
        <w:t></w:t>
      </w:r>
      <w:r>
        <w:t>.</w:t>
      </w:r>
    </w:p>
    <w:p w14:paraId="6ADD2D17" w14:textId="5E704D13" w:rsidR="00476E17" w:rsidRDefault="009F098A" w:rsidP="009F098A">
      <w:pPr>
        <w:pStyle w:val="Titre1"/>
      </w:pPr>
      <w:r>
        <w:t>CARACTÉRISTIQUES D’UN ALI IDÉAL</w:t>
      </w:r>
    </w:p>
    <w:p w14:paraId="1549AB12" w14:textId="5CDECA96" w:rsidR="009F098A" w:rsidRDefault="009F098A" w:rsidP="009F098A">
      <w:pPr>
        <w:jc w:val="center"/>
      </w:pPr>
      <w:r>
        <w:rPr>
          <w:noProof/>
        </w:rPr>
        <w:drawing>
          <wp:inline distT="0" distB="0" distL="0" distR="0" wp14:anchorId="6A0EB26F" wp14:editId="41B96DD8">
            <wp:extent cx="3818535" cy="15064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23720" cy="1547941"/>
                    </a:xfrm>
                    <a:prstGeom prst="rect">
                      <a:avLst/>
                    </a:prstGeom>
                  </pic:spPr>
                </pic:pic>
              </a:graphicData>
            </a:graphic>
          </wp:inline>
        </w:drawing>
      </w:r>
    </w:p>
    <w:p w14:paraId="1A79D6F1" w14:textId="072BA688" w:rsidR="00476E17" w:rsidRDefault="00242528" w:rsidP="009F098A">
      <w:pPr>
        <w:jc w:val="center"/>
      </w:pPr>
      <w:r>
        <w:t>Schéma équivalent d’un ALI idéal</w:t>
      </w:r>
    </w:p>
    <w:p w14:paraId="2579030C" w14:textId="77777777" w:rsidR="00476E17" w:rsidRDefault="00242528" w:rsidP="009F098A">
      <w:r>
        <w:t>On adopte pour un ALI « idéal » les caractéristiques suivantes :</w:t>
      </w:r>
    </w:p>
    <w:p w14:paraId="104BEC5E" w14:textId="77777777" w:rsidR="009F098A" w:rsidRDefault="00242528" w:rsidP="009F098A">
      <w:r>
        <w:rPr>
          <w:b/>
        </w:rPr>
        <w:t>R</w:t>
      </w:r>
      <w:r>
        <w:rPr>
          <w:b/>
          <w:vertAlign w:val="subscript"/>
        </w:rPr>
        <w:t>E</w:t>
      </w:r>
      <w:r>
        <w:rPr>
          <w:b/>
        </w:rPr>
        <w:t xml:space="preserve"> </w:t>
      </w:r>
      <w:r>
        <w:t xml:space="preserve">= Résistance d’entrée de l’ALI </w:t>
      </w:r>
      <w:r>
        <w:rPr>
          <w:rFonts w:ascii="Symbol" w:hAnsi="Symbol"/>
        </w:rPr>
        <w:t></w:t>
      </w:r>
      <w:r>
        <w:rPr>
          <w:rFonts w:ascii="Times New Roman" w:hAnsi="Times New Roman"/>
        </w:rPr>
        <w:t xml:space="preserve"> </w:t>
      </w:r>
      <w:r>
        <w:rPr>
          <w:b/>
        </w:rPr>
        <w:t xml:space="preserve">∞ </w:t>
      </w:r>
      <w:r>
        <w:t xml:space="preserve">; </w:t>
      </w:r>
      <w:proofErr w:type="spellStart"/>
      <w:r>
        <w:rPr>
          <w:b/>
        </w:rPr>
        <w:t>Ie</w:t>
      </w:r>
      <w:proofErr w:type="spellEnd"/>
      <w:r>
        <w:rPr>
          <w:b/>
        </w:rPr>
        <w:t xml:space="preserve">+ = </w:t>
      </w:r>
      <w:proofErr w:type="spellStart"/>
      <w:r>
        <w:rPr>
          <w:b/>
        </w:rPr>
        <w:t>Ie</w:t>
      </w:r>
      <w:proofErr w:type="spellEnd"/>
      <w:r>
        <w:rPr>
          <w:b/>
        </w:rPr>
        <w:t xml:space="preserve">- </w:t>
      </w:r>
      <w:r>
        <w:rPr>
          <w:rFonts w:ascii="Symbol" w:hAnsi="Symbol"/>
        </w:rPr>
        <w:t></w:t>
      </w:r>
      <w:r>
        <w:rPr>
          <w:rFonts w:ascii="Times New Roman" w:hAnsi="Times New Roman"/>
        </w:rPr>
        <w:t xml:space="preserve"> </w:t>
      </w:r>
      <w:r>
        <w:t xml:space="preserve">0 </w:t>
      </w:r>
    </w:p>
    <w:p w14:paraId="5BA4F040" w14:textId="77777777" w:rsidR="009F098A" w:rsidRDefault="00242528" w:rsidP="009F098A">
      <w:r>
        <w:t xml:space="preserve">On admet alors la tension différentielle </w:t>
      </w:r>
      <w:r>
        <w:rPr>
          <w:b/>
        </w:rPr>
        <w:t xml:space="preserve">e = </w:t>
      </w:r>
      <w:proofErr w:type="gramStart"/>
      <w:r>
        <w:rPr>
          <w:b/>
        </w:rPr>
        <w:t>R</w:t>
      </w:r>
      <w:r>
        <w:rPr>
          <w:b/>
          <w:vertAlign w:val="subscript"/>
        </w:rPr>
        <w:t>E</w:t>
      </w:r>
      <w:r>
        <w:rPr>
          <w:b/>
        </w:rPr>
        <w:t xml:space="preserve"> .</w:t>
      </w:r>
      <w:proofErr w:type="gramEnd"/>
      <w:r>
        <w:rPr>
          <w:b/>
        </w:rPr>
        <w:t xml:space="preserve"> </w:t>
      </w:r>
      <w:proofErr w:type="spellStart"/>
      <w:r>
        <w:rPr>
          <w:b/>
        </w:rPr>
        <w:t>Ie</w:t>
      </w:r>
      <w:proofErr w:type="spellEnd"/>
      <w:r>
        <w:rPr>
          <w:b/>
        </w:rPr>
        <w:t xml:space="preserve"> </w:t>
      </w:r>
      <w:r>
        <w:rPr>
          <w:rFonts w:ascii="Symbol" w:hAnsi="Symbol"/>
        </w:rPr>
        <w:t></w:t>
      </w:r>
      <w:r>
        <w:rPr>
          <w:rFonts w:ascii="Times New Roman" w:hAnsi="Times New Roman"/>
        </w:rPr>
        <w:t xml:space="preserve"> </w:t>
      </w:r>
      <w:r>
        <w:t xml:space="preserve">0 </w:t>
      </w:r>
    </w:p>
    <w:p w14:paraId="1A315721" w14:textId="4BB78CE4" w:rsidR="00476E17" w:rsidRDefault="00242528" w:rsidP="009F098A">
      <w:r>
        <w:rPr>
          <w:b/>
        </w:rPr>
        <w:t>R</w:t>
      </w:r>
      <w:r>
        <w:rPr>
          <w:b/>
          <w:vertAlign w:val="subscript"/>
        </w:rPr>
        <w:t>S</w:t>
      </w:r>
      <w:r>
        <w:rPr>
          <w:b/>
        </w:rPr>
        <w:t xml:space="preserve"> </w:t>
      </w:r>
      <w:r>
        <w:t xml:space="preserve">= Résistance de sortie de l’ALI </w:t>
      </w:r>
      <w:r>
        <w:rPr>
          <w:rFonts w:ascii="Symbol" w:hAnsi="Symbol"/>
        </w:rPr>
        <w:t></w:t>
      </w:r>
      <w:r>
        <w:rPr>
          <w:rFonts w:ascii="Times New Roman" w:hAnsi="Times New Roman"/>
        </w:rPr>
        <w:t xml:space="preserve"> </w:t>
      </w:r>
      <w:r>
        <w:t xml:space="preserve">0 ; </w:t>
      </w:r>
      <w:proofErr w:type="gramStart"/>
      <w:r>
        <w:rPr>
          <w:b/>
        </w:rPr>
        <w:t>R</w:t>
      </w:r>
      <w:r>
        <w:rPr>
          <w:b/>
          <w:vertAlign w:val="subscript"/>
        </w:rPr>
        <w:t>S</w:t>
      </w:r>
      <w:r>
        <w:rPr>
          <w:b/>
        </w:rPr>
        <w:t xml:space="preserve"> .</w:t>
      </w:r>
      <w:proofErr w:type="gramEnd"/>
      <w:r>
        <w:rPr>
          <w:b/>
        </w:rPr>
        <w:t xml:space="preserve"> Is </w:t>
      </w:r>
      <w:r>
        <w:rPr>
          <w:rFonts w:ascii="Symbol" w:hAnsi="Symbol"/>
        </w:rPr>
        <w:t></w:t>
      </w:r>
      <w:r>
        <w:rPr>
          <w:rFonts w:ascii="Times New Roman" w:hAnsi="Times New Roman"/>
        </w:rPr>
        <w:t xml:space="preserve"> </w:t>
      </w:r>
      <w:r>
        <w:t>0</w:t>
      </w:r>
    </w:p>
    <w:p w14:paraId="71E83B24" w14:textId="77777777" w:rsidR="00476E17" w:rsidRDefault="00242528" w:rsidP="009F098A">
      <w:pPr>
        <w:rPr>
          <w:b/>
        </w:rPr>
      </w:pPr>
      <w:proofErr w:type="gramStart"/>
      <w:r>
        <w:t>et</w:t>
      </w:r>
      <w:proofErr w:type="gramEnd"/>
      <w:r>
        <w:t xml:space="preserve"> par suite : </w:t>
      </w:r>
      <w:r>
        <w:rPr>
          <w:b/>
        </w:rPr>
        <w:t xml:space="preserve">Vs = Ao . </w:t>
      </w:r>
      <w:proofErr w:type="gramStart"/>
      <w:r>
        <w:rPr>
          <w:b/>
        </w:rPr>
        <w:t>e</w:t>
      </w:r>
      <w:proofErr w:type="gramEnd"/>
    </w:p>
    <w:p w14:paraId="7531D015" w14:textId="77777777" w:rsidR="00476E17" w:rsidRDefault="00242528" w:rsidP="009F098A">
      <w:r>
        <w:rPr>
          <w:b/>
        </w:rPr>
        <w:lastRenderedPageBreak/>
        <w:t xml:space="preserve">Ao </w:t>
      </w:r>
      <w:r>
        <w:t xml:space="preserve">est le </w:t>
      </w:r>
      <w:r>
        <w:rPr>
          <w:b/>
        </w:rPr>
        <w:t xml:space="preserve">gain en boucle ouverte </w:t>
      </w:r>
      <w:r>
        <w:t xml:space="preserve">de l’ALI, on l’admet </w:t>
      </w:r>
      <w:r>
        <w:rPr>
          <w:rFonts w:ascii="Symbol" w:hAnsi="Symbol"/>
        </w:rPr>
        <w:t></w:t>
      </w:r>
      <w:r>
        <w:rPr>
          <w:rFonts w:ascii="Times New Roman" w:hAnsi="Times New Roman"/>
        </w:rPr>
        <w:t xml:space="preserve"> </w:t>
      </w:r>
      <w:r>
        <w:t>∞</w:t>
      </w:r>
    </w:p>
    <w:p w14:paraId="1DE3840F" w14:textId="77777777" w:rsidR="009F098A" w:rsidRDefault="009F098A" w:rsidP="009F098A">
      <w:pPr>
        <w:pStyle w:val="Titre1"/>
      </w:pPr>
      <w:r>
        <w:t>BROCHAGE</w:t>
      </w:r>
    </w:p>
    <w:tbl>
      <w:tblPr>
        <w:tblStyle w:val="TableNormal"/>
        <w:tblW w:w="0" w:type="auto"/>
        <w:jc w:val="center"/>
        <w:tblLayout w:type="fixed"/>
        <w:tblLook w:val="01E0" w:firstRow="1" w:lastRow="1" w:firstColumn="1" w:lastColumn="1" w:noHBand="0" w:noVBand="0"/>
      </w:tblPr>
      <w:tblGrid>
        <w:gridCol w:w="2305"/>
        <w:gridCol w:w="4560"/>
        <w:gridCol w:w="2815"/>
      </w:tblGrid>
      <w:tr w:rsidR="00476E17" w14:paraId="1DF98438" w14:textId="77777777" w:rsidTr="009F098A">
        <w:trPr>
          <w:trHeight w:val="2072"/>
          <w:jc w:val="center"/>
        </w:trPr>
        <w:tc>
          <w:tcPr>
            <w:tcW w:w="2305" w:type="dxa"/>
          </w:tcPr>
          <w:p w14:paraId="38E0E079" w14:textId="77777777" w:rsidR="00476E17" w:rsidRDefault="00242528">
            <w:pPr>
              <w:pStyle w:val="TableParagraph"/>
              <w:ind w:left="200"/>
              <w:rPr>
                <w:sz w:val="20"/>
              </w:rPr>
            </w:pPr>
            <w:r>
              <w:rPr>
                <w:noProof/>
                <w:sz w:val="20"/>
              </w:rPr>
              <w:drawing>
                <wp:inline distT="0" distB="0" distL="0" distR="0" wp14:anchorId="4DF021A4" wp14:editId="10477DD4">
                  <wp:extent cx="1115568" cy="1115568"/>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1" cstate="print"/>
                          <a:stretch>
                            <a:fillRect/>
                          </a:stretch>
                        </pic:blipFill>
                        <pic:spPr>
                          <a:xfrm>
                            <a:off x="0" y="0"/>
                            <a:ext cx="1115568" cy="1115568"/>
                          </a:xfrm>
                          <a:prstGeom prst="rect">
                            <a:avLst/>
                          </a:prstGeom>
                        </pic:spPr>
                      </pic:pic>
                    </a:graphicData>
                  </a:graphic>
                </wp:inline>
              </w:drawing>
            </w:r>
          </w:p>
        </w:tc>
        <w:tc>
          <w:tcPr>
            <w:tcW w:w="4560" w:type="dxa"/>
          </w:tcPr>
          <w:p w14:paraId="5B95FEAE" w14:textId="77777777" w:rsidR="00476E17" w:rsidRDefault="00242528">
            <w:pPr>
              <w:pStyle w:val="TableParagraph"/>
              <w:ind w:left="442"/>
              <w:rPr>
                <w:sz w:val="20"/>
              </w:rPr>
            </w:pPr>
            <w:r>
              <w:rPr>
                <w:noProof/>
                <w:sz w:val="20"/>
              </w:rPr>
              <w:drawing>
                <wp:inline distT="0" distB="0" distL="0" distR="0" wp14:anchorId="21B2DB0D" wp14:editId="658A3B91">
                  <wp:extent cx="2472137" cy="1135856"/>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2" cstate="print"/>
                          <a:stretch>
                            <a:fillRect/>
                          </a:stretch>
                        </pic:blipFill>
                        <pic:spPr>
                          <a:xfrm>
                            <a:off x="0" y="0"/>
                            <a:ext cx="2472137" cy="1135856"/>
                          </a:xfrm>
                          <a:prstGeom prst="rect">
                            <a:avLst/>
                          </a:prstGeom>
                        </pic:spPr>
                      </pic:pic>
                    </a:graphicData>
                  </a:graphic>
                </wp:inline>
              </w:drawing>
            </w:r>
          </w:p>
        </w:tc>
        <w:tc>
          <w:tcPr>
            <w:tcW w:w="2815" w:type="dxa"/>
          </w:tcPr>
          <w:p w14:paraId="24582E1B" w14:textId="77777777" w:rsidR="00476E17" w:rsidRDefault="00242528">
            <w:pPr>
              <w:pStyle w:val="TableParagraph"/>
              <w:numPr>
                <w:ilvl w:val="0"/>
                <w:numId w:val="1"/>
              </w:numPr>
              <w:tabs>
                <w:tab w:val="left" w:pos="293"/>
              </w:tabs>
              <w:spacing w:before="25" w:line="252" w:lineRule="exact"/>
              <w:ind w:hanging="185"/>
            </w:pPr>
            <w:r>
              <w:rPr>
                <w:sz w:val="22"/>
              </w:rPr>
              <w:t>: Réglage</w:t>
            </w:r>
            <w:r>
              <w:rPr>
                <w:spacing w:val="-1"/>
                <w:sz w:val="22"/>
              </w:rPr>
              <w:t xml:space="preserve"> </w:t>
            </w:r>
            <w:r>
              <w:rPr>
                <w:sz w:val="22"/>
              </w:rPr>
              <w:t>Offset</w:t>
            </w:r>
          </w:p>
          <w:p w14:paraId="65ED93EE" w14:textId="77777777" w:rsidR="00476E17" w:rsidRDefault="00242528">
            <w:pPr>
              <w:pStyle w:val="TableParagraph"/>
              <w:numPr>
                <w:ilvl w:val="0"/>
                <w:numId w:val="1"/>
              </w:numPr>
              <w:tabs>
                <w:tab w:val="left" w:pos="293"/>
              </w:tabs>
              <w:spacing w:line="252" w:lineRule="exact"/>
              <w:ind w:hanging="185"/>
            </w:pPr>
            <w:r>
              <w:rPr>
                <w:sz w:val="22"/>
              </w:rPr>
              <w:t>: Entrée</w:t>
            </w:r>
            <w:r>
              <w:rPr>
                <w:spacing w:val="-1"/>
                <w:sz w:val="22"/>
              </w:rPr>
              <w:t xml:space="preserve"> </w:t>
            </w:r>
            <w:r>
              <w:rPr>
                <w:sz w:val="22"/>
              </w:rPr>
              <w:t>inverseuse</w:t>
            </w:r>
          </w:p>
          <w:p w14:paraId="6650EE4C" w14:textId="77777777" w:rsidR="00476E17" w:rsidRDefault="00242528">
            <w:pPr>
              <w:pStyle w:val="TableParagraph"/>
              <w:numPr>
                <w:ilvl w:val="0"/>
                <w:numId w:val="1"/>
              </w:numPr>
              <w:tabs>
                <w:tab w:val="left" w:pos="293"/>
              </w:tabs>
              <w:ind w:left="108" w:right="197" w:firstLine="0"/>
            </w:pPr>
            <w:r>
              <w:rPr>
                <w:sz w:val="22"/>
              </w:rPr>
              <w:t xml:space="preserve">: Entrée non </w:t>
            </w:r>
            <w:r>
              <w:rPr>
                <w:spacing w:val="-3"/>
                <w:sz w:val="22"/>
              </w:rPr>
              <w:t xml:space="preserve">inverseuse </w:t>
            </w:r>
            <w:r>
              <w:rPr>
                <w:sz w:val="22"/>
              </w:rPr>
              <w:t>4 : Alimentation</w:t>
            </w:r>
            <w:r>
              <w:rPr>
                <w:spacing w:val="-2"/>
                <w:sz w:val="22"/>
              </w:rPr>
              <w:t xml:space="preserve"> </w:t>
            </w:r>
            <w:r>
              <w:rPr>
                <w:sz w:val="22"/>
              </w:rPr>
              <w:t>(-)</w:t>
            </w:r>
          </w:p>
          <w:p w14:paraId="49D2B579" w14:textId="77777777" w:rsidR="00476E17" w:rsidRDefault="00242528">
            <w:pPr>
              <w:pStyle w:val="TableParagraph"/>
              <w:ind w:left="108" w:right="913"/>
            </w:pPr>
            <w:r>
              <w:rPr>
                <w:sz w:val="22"/>
              </w:rPr>
              <w:t>5 : Réglage Offset 6 : Sortie</w:t>
            </w:r>
          </w:p>
          <w:p w14:paraId="3388B0F5" w14:textId="77777777" w:rsidR="00476E17" w:rsidRDefault="00242528">
            <w:pPr>
              <w:pStyle w:val="TableParagraph"/>
              <w:ind w:left="108" w:right="834"/>
            </w:pPr>
            <w:r>
              <w:rPr>
                <w:sz w:val="22"/>
              </w:rPr>
              <w:t>7 : Alimentation (+) 8 : Non Connecté</w:t>
            </w:r>
          </w:p>
        </w:tc>
      </w:tr>
    </w:tbl>
    <w:p w14:paraId="4E62CB8C" w14:textId="77777777" w:rsidR="00476E17" w:rsidRDefault="00242528">
      <w:pPr>
        <w:pStyle w:val="Titre1"/>
        <w:spacing w:before="93"/>
        <w:ind w:left="1309" w:right="1774"/>
        <w:jc w:val="center"/>
      </w:pPr>
      <w:r>
        <w:rPr>
          <w:u w:val="thick"/>
        </w:rPr>
        <w:t>Exemple : LM 741CN</w:t>
      </w:r>
    </w:p>
    <w:p w14:paraId="7CC09FC3" w14:textId="77777777" w:rsidR="00476E17" w:rsidRDefault="0082495D">
      <w:pPr>
        <w:pStyle w:val="Corpsdetexte"/>
        <w:ind w:left="815"/>
        <w:rPr>
          <w:sz w:val="20"/>
        </w:rPr>
      </w:pPr>
      <w:r>
        <w:rPr>
          <w:sz w:val="20"/>
        </w:rPr>
      </w:r>
      <w:r>
        <w:rPr>
          <w:sz w:val="20"/>
        </w:rPr>
        <w:pict w14:anchorId="660D219F">
          <v:group id="_x0000_s1170" style="width:432.4pt;height:290.25pt;mso-position-horizontal-relative:char;mso-position-vertical-relative:line" coordsize="8648,5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2" type="#_x0000_t75" style="position:absolute;top:131;width:8648;height:5674">
              <v:imagedata r:id="rId13" o:title=""/>
            </v:shape>
            <v:rect id="_x0000_s1171" style="position:absolute;left:7877;width:315;height:225" stroked="f"/>
            <w10:anchorlock/>
          </v:group>
        </w:pict>
      </w:r>
    </w:p>
    <w:p w14:paraId="03EEAC9D" w14:textId="77777777" w:rsidR="00476E17" w:rsidRDefault="00242528">
      <w:pPr>
        <w:spacing w:before="92"/>
        <w:ind w:left="1875" w:right="1774"/>
        <w:jc w:val="center"/>
        <w:rPr>
          <w:b/>
        </w:rPr>
      </w:pPr>
      <w:r>
        <w:rPr>
          <w:b/>
          <w:sz w:val="22"/>
          <w:u w:val="thick"/>
        </w:rPr>
        <w:t>Schéma interne de l’ALI LM 741CN</w:t>
      </w:r>
    </w:p>
    <w:p w14:paraId="4A3A0DEA" w14:textId="77777777" w:rsidR="009F098A" w:rsidRDefault="009F098A" w:rsidP="009F098A">
      <w:pPr>
        <w:pStyle w:val="Titre1"/>
      </w:pPr>
      <w:r>
        <w:t>ALIMENTATION</w:t>
      </w:r>
    </w:p>
    <w:p w14:paraId="5379F85A" w14:textId="77777777" w:rsidR="00476E17" w:rsidRDefault="00242528" w:rsidP="009F098A">
      <w:r>
        <w:t>Elle va dépendre de l’utilisation du montage. Elle peut-être de 2 types : symétrique ou asymétrique.</w:t>
      </w:r>
    </w:p>
    <w:p w14:paraId="3108E101" w14:textId="77777777" w:rsidR="009F098A" w:rsidRDefault="009F098A" w:rsidP="009F098A">
      <w:pPr>
        <w:pStyle w:val="Titre2"/>
      </w:pPr>
      <w:r>
        <w:t>ALIMENTATION SYMÉTRIQUE</w:t>
      </w:r>
    </w:p>
    <w:p w14:paraId="6C1B45DA" w14:textId="77777777" w:rsidR="00476E17" w:rsidRDefault="00242528" w:rsidP="009F098A">
      <w:r>
        <w:t>Les ALI fonctionnent en général avec une alimentation double symétrique (+Vcc ; -Vcc).</w:t>
      </w:r>
    </w:p>
    <w:p w14:paraId="405867D6" w14:textId="191137FA" w:rsidR="00476E17" w:rsidRDefault="0082495D" w:rsidP="009F098A">
      <w:pPr>
        <w:pStyle w:val="Corpsdetexte"/>
        <w:spacing w:before="5"/>
        <w:jc w:val="center"/>
        <w:rPr>
          <w:sz w:val="24"/>
        </w:rPr>
      </w:pPr>
      <w:r>
        <w:rPr>
          <w:sz w:val="24"/>
        </w:rPr>
      </w:r>
      <w:r>
        <w:rPr>
          <w:sz w:val="24"/>
        </w:rPr>
        <w:pict w14:anchorId="06715891">
          <v:group id="_x0000_s1158" style="width:278.1pt;height:123.3pt;mso-wrap-distance-left:0;mso-wrap-distance-right:0;mso-position-horizontal-relative:char;mso-position-vertical-relative:line" coordorigin="3190,321" coordsize="5562,2466">
            <v:shape id="_x0000_s1167" type="#_x0000_t75" style="position:absolute;left:3190;top:320;width:5562;height:2466">
              <v:imagedata r:id="rId14" o:title=""/>
            </v:shape>
            <v:line id="_x0000_s1166" style="position:absolute" from="6282,1578" to="6282,1839" strokecolor="red" strokeweight="1.5pt"/>
            <v:line id="_x0000_s1165" style="position:absolute" from="6147,1839" to="6435,1839" strokecolor="red" strokeweight="1.5pt"/>
            <v:shape id="_x0000_s1164" style="position:absolute;left:6345;top:615;width:594;height:540" coordorigin="6345,615" coordsize="594,540" path="m6642,615r-79,10l6492,652r-60,42l6386,749r-30,65l6345,885r11,72l6386,1022r46,54l6492,1118r71,28l6642,1155r79,-9l6792,1118r60,-42l6898,1022r30,-65l6939,885r-11,-71l6898,749r-46,-55l6792,652r-71,-27l6642,615xe" stroked="f">
              <v:path arrowok="t"/>
            </v:shape>
            <v:shape id="_x0000_s1163" style="position:absolute;left:6345;top:615;width:594;height:540" coordorigin="6345,615" coordsize="594,540" path="m6642,615r-79,10l6492,652r-60,42l6386,749r-30,65l6345,885r11,72l6386,1022r46,54l6492,1118r71,28l6642,1155r79,-9l6792,1118r60,-42l6898,1022r30,-65l6939,885r-11,-71l6898,749r-46,-55l6792,652r-71,-27l6642,615xe" filled="f" strokecolor="red" strokeweight="1.5pt">
              <v:path arrowok="t"/>
            </v:shape>
            <v:shape id="_x0000_s1162" style="position:absolute;left:6336;top:1926;width:594;height:540" coordorigin="6336,1926" coordsize="594,540" path="m6633,1926r-79,10l6483,1963r-60,42l6377,2060r-30,65l6336,2196r11,72l6377,2333r46,54l6483,2429r71,28l6633,2466r79,-9l6783,2429r60,-42l6889,2333r30,-65l6930,2196r-11,-71l6889,2060r-46,-55l6783,1963r-71,-27l6633,1926xe" stroked="f">
              <v:path arrowok="t"/>
            </v:shape>
            <v:shape id="_x0000_s1161" style="position:absolute;left:6336;top:1926;width:594;height:540" coordorigin="6336,1926" coordsize="594,540" path="m6633,1926r-79,10l6483,1963r-60,42l6377,2060r-30,65l6336,2196r11,72l6377,2333r46,54l6483,2429r71,28l6633,2466r79,-9l6783,2429r60,-42l6889,2333r30,-65l6930,2196r-11,-71l6889,2060r-46,-55l6783,1963r-71,-27l6633,1926xe" filled="f" strokecolor="red" strokeweight="1.5pt">
              <v:path arrowok="t"/>
            </v:shape>
            <v:line id="_x0000_s1160" style="position:absolute" from="6633,1926" to="6633,2466" strokecolor="red" strokeweight="1.5pt"/>
            <v:line id="_x0000_s1159" style="position:absolute" from="6642,636" to="6642,1176" strokecolor="red" strokeweight="1.5pt"/>
            <w10:wrap anchorx="page"/>
            <w10:anchorlock/>
          </v:group>
        </w:pict>
      </w:r>
    </w:p>
    <w:p w14:paraId="47F861BB" w14:textId="77777777" w:rsidR="00476E17" w:rsidRDefault="00242528" w:rsidP="009F098A">
      <w:r>
        <w:t>Ce type d’alimentation alimentation est constituée de deux générateurs de tension continue symétriques et sera utilisé si la sortie doit évoluer en valeur positive et négative (par exemple lors de l’amplification d’un signal alternatif).</w:t>
      </w:r>
    </w:p>
    <w:p w14:paraId="2080AA9C" w14:textId="77777777" w:rsidR="009F098A" w:rsidRDefault="009F098A" w:rsidP="009F098A">
      <w:pPr>
        <w:pStyle w:val="Titre2"/>
      </w:pPr>
      <w:r>
        <w:lastRenderedPageBreak/>
        <w:t>ALIMENTATION ASYMÉTRIQUE</w:t>
      </w:r>
    </w:p>
    <w:p w14:paraId="335D8F45" w14:textId="0C6CAED0" w:rsidR="00476E17" w:rsidRDefault="0082495D" w:rsidP="009F098A">
      <w:r>
        <w:pict w14:anchorId="79E9E04D">
          <v:rect id="_x0000_s1154" style="position:absolute;margin-left:335.7pt;margin-top:704.4pt;width:23.4pt;height:16.2pt;z-index:-16299008;mso-position-horizontal-relative:page;mso-position-vertical-relative:page" stroked="f">
            <w10:wrap anchorx="page" anchory="page"/>
          </v:rect>
        </w:pict>
      </w:r>
      <w:r>
        <w:pict w14:anchorId="1C4ED499">
          <v:rect id="_x0000_s1153" style="position:absolute;margin-left:472.8pt;margin-top:704.4pt;width:23.4pt;height:16.2pt;z-index:-16298496;mso-position-horizontal-relative:page;mso-position-vertical-relative:page" stroked="f">
            <w10:wrap anchorx="page" anchory="page"/>
          </v:rect>
        </w:pict>
      </w:r>
      <w:r w:rsidR="00242528">
        <w:t xml:space="preserve">Les </w:t>
      </w:r>
      <w:r w:rsidR="00242528" w:rsidRPr="009F098A">
        <w:t>ALI</w:t>
      </w:r>
      <w:r w:rsidR="00242528">
        <w:t xml:space="preserve"> peuvent aussi être alimentés en asymétrique (+Vcc ; 0 V).</w:t>
      </w:r>
    </w:p>
    <w:p w14:paraId="7AB7890B" w14:textId="484E22E4" w:rsidR="00476E17" w:rsidRDefault="0082495D" w:rsidP="009F098A">
      <w:pPr>
        <w:pStyle w:val="Corpsdetexte"/>
        <w:spacing w:before="7"/>
        <w:jc w:val="center"/>
        <w:rPr>
          <w:sz w:val="12"/>
        </w:rPr>
      </w:pPr>
      <w:r>
        <w:rPr>
          <w:sz w:val="12"/>
        </w:rPr>
      </w:r>
      <w:r>
        <w:rPr>
          <w:sz w:val="12"/>
        </w:rPr>
        <w:pict w14:anchorId="622E25F9">
          <v:group id="_x0000_s1147" style="width:230.55pt;height:130.85pt;mso-wrap-distance-left:0;mso-wrap-distance-right:0;mso-position-horizontal-relative:char;mso-position-vertical-relative:line" coordorigin="3631,184" coordsize="4611,2617">
            <v:shape id="_x0000_s1151" type="#_x0000_t75" style="position:absolute;left:3631;top:184;width:4611;height:2617">
              <v:imagedata r:id="rId15" o:title=""/>
            </v:shape>
            <v:shape id="_x0000_s1150" style="position:absolute;left:6993;top:1219;width:594;height:540" coordorigin="6993,1220" coordsize="594,540" path="m7290,1220r-79,9l7140,1257r-60,42l7034,1353r-30,65l6993,1490r11,71l7034,1626r46,55l7140,1723r71,27l7290,1760r79,-10l7440,1723r60,-42l7546,1626r30,-65l7587,1490r-11,-72l7546,1353r-46,-54l7440,1257r-71,-28l7290,1220xe" stroked="f">
              <v:path arrowok="t"/>
            </v:shape>
            <v:shape id="_x0000_s1149" style="position:absolute;left:6993;top:1219;width:594;height:540" coordorigin="6993,1220" coordsize="594,540" path="m7290,1220r-79,9l7140,1257r-60,42l7034,1353r-30,65l6993,1490r11,71l7034,1626r46,55l7140,1723r71,27l7290,1760r79,-10l7440,1723r60,-42l7546,1626r30,-65l7587,1490r-11,-72l7546,1353r-46,-54l7440,1257r-71,-28l7290,1220xe" filled="f" strokecolor="red" strokeweight="1.5pt">
              <v:path arrowok="t"/>
            </v:shape>
            <v:line id="_x0000_s1148" style="position:absolute" from="7290,1238" to="7290,1778" strokecolor="red" strokeweight="1.5pt"/>
            <w10:wrap anchorx="page"/>
            <w10:anchorlock/>
          </v:group>
        </w:pict>
      </w:r>
    </w:p>
    <w:p w14:paraId="2A99E436" w14:textId="77777777" w:rsidR="00476E17" w:rsidRDefault="00242528" w:rsidP="009F098A">
      <w:r>
        <w:t>Dans ce cas la sortie ne peut évoluer qu’entre 0 V et +Vcc.</w:t>
      </w:r>
    </w:p>
    <w:p w14:paraId="6CD4BE1C" w14:textId="77777777" w:rsidR="00476E17" w:rsidRDefault="00242528" w:rsidP="009F098A">
      <w:r>
        <w:t>Ce type d’alimentation est en général réservé à la commande TOR ou à l’amplification de tension continue positive.</w:t>
      </w:r>
    </w:p>
    <w:p w14:paraId="43016D74" w14:textId="77777777" w:rsidR="00476E17" w:rsidRDefault="00242528" w:rsidP="009F098A">
      <w:pPr>
        <w:pStyle w:val="Titre2"/>
      </w:pPr>
      <w:r>
        <w:t>Remarques :</w:t>
      </w:r>
    </w:p>
    <w:p w14:paraId="28D0CB04" w14:textId="77777777" w:rsidR="00476E17" w:rsidRDefault="00242528" w:rsidP="009F098A">
      <w:r>
        <w:t>La tension d’offset est une tension de décalage de la sortie due à la constitution interne de l’ALI. Le réglage de la tension d’offset permet de régler Vs = 0 si e = 0 (ajustement du zéro en sortie).</w:t>
      </w:r>
    </w:p>
    <w:p w14:paraId="6D09240E" w14:textId="36B26DFC" w:rsidR="00476E17" w:rsidRDefault="00242528" w:rsidP="009F098A">
      <w:pPr>
        <w:jc w:val="center"/>
        <w:rPr>
          <w:sz w:val="23"/>
        </w:rPr>
      </w:pPr>
      <w:r>
        <w:rPr>
          <w:noProof/>
        </w:rPr>
        <w:drawing>
          <wp:inline distT="0" distB="0" distL="0" distR="0" wp14:anchorId="1F739E5F" wp14:editId="3D99A4A4">
            <wp:extent cx="3856551" cy="1568958"/>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56551" cy="1568958"/>
                    </a:xfrm>
                    <a:prstGeom prst="rect">
                      <a:avLst/>
                    </a:prstGeom>
                  </pic:spPr>
                </pic:pic>
              </a:graphicData>
            </a:graphic>
          </wp:inline>
        </w:drawing>
      </w:r>
    </w:p>
    <w:p w14:paraId="41034D1F" w14:textId="77777777" w:rsidR="009F098A" w:rsidRDefault="009F098A" w:rsidP="009F098A">
      <w:pPr>
        <w:pStyle w:val="Titre1"/>
      </w:pPr>
      <w:r>
        <w:t>NOTIONS DE BOUCLE</w:t>
      </w:r>
    </w:p>
    <w:p w14:paraId="4BBCFDE8" w14:textId="4CE08843" w:rsidR="009F098A" w:rsidRDefault="009F098A" w:rsidP="009F098A">
      <w:pPr>
        <w:pStyle w:val="Titre2"/>
      </w:pPr>
      <w:r>
        <w:t>FONCTIONNEMENT EN BOUCLE OUVERTE</w:t>
      </w:r>
    </w:p>
    <w:tbl>
      <w:tblPr>
        <w:tblStyle w:val="TableNormal"/>
        <w:tblW w:w="0" w:type="auto"/>
        <w:tblInd w:w="284" w:type="dxa"/>
        <w:tblLayout w:type="fixed"/>
        <w:tblLook w:val="01E0" w:firstRow="1" w:lastRow="1" w:firstColumn="1" w:lastColumn="1" w:noHBand="0" w:noVBand="0"/>
      </w:tblPr>
      <w:tblGrid>
        <w:gridCol w:w="4665"/>
        <w:gridCol w:w="5101"/>
      </w:tblGrid>
      <w:tr w:rsidR="009F098A" w14:paraId="29693F4E" w14:textId="77777777" w:rsidTr="007E092D">
        <w:trPr>
          <w:trHeight w:val="3192"/>
        </w:trPr>
        <w:tc>
          <w:tcPr>
            <w:tcW w:w="4665" w:type="dxa"/>
          </w:tcPr>
          <w:p w14:paraId="6FE6DE47" w14:textId="77777777" w:rsidR="009F098A" w:rsidRDefault="009F098A" w:rsidP="0082495D">
            <w:r>
              <w:t>En pratique, les courants d’entrée peuvent être négligés (</w:t>
            </w:r>
            <w:proofErr w:type="spellStart"/>
            <w:r>
              <w:t>ie</w:t>
            </w:r>
            <w:proofErr w:type="spellEnd"/>
            <w:r>
              <w:t xml:space="preserve">+ </w:t>
            </w:r>
            <w:r>
              <w:rPr>
                <w:rFonts w:ascii="Symbol" w:hAnsi="Symbol"/>
              </w:rPr>
              <w:t></w:t>
            </w:r>
            <w:r>
              <w:rPr>
                <w:rFonts w:ascii="Times New Roman" w:hAnsi="Times New Roman"/>
              </w:rPr>
              <w:t xml:space="preserve"> </w:t>
            </w:r>
            <w:r>
              <w:t xml:space="preserve">0 ; </w:t>
            </w:r>
            <w:proofErr w:type="spellStart"/>
            <w:r>
              <w:t>ie</w:t>
            </w:r>
            <w:proofErr w:type="spellEnd"/>
            <w:r>
              <w:t xml:space="preserve">- </w:t>
            </w:r>
            <w:r>
              <w:rPr>
                <w:rFonts w:ascii="Symbol" w:hAnsi="Symbol"/>
              </w:rPr>
              <w:t></w:t>
            </w:r>
            <w:r>
              <w:rPr>
                <w:rFonts w:ascii="Times New Roman" w:hAnsi="Times New Roman"/>
              </w:rPr>
              <w:t xml:space="preserve"> </w:t>
            </w:r>
            <w:r>
              <w:t>0).</w:t>
            </w:r>
          </w:p>
          <w:p w14:paraId="06EA450E" w14:textId="77777777" w:rsidR="009F098A" w:rsidRDefault="009F098A" w:rsidP="0082495D">
            <w:r>
              <w:rPr>
                <w:b/>
              </w:rPr>
              <w:t>R</w:t>
            </w:r>
            <w:r>
              <w:rPr>
                <w:b/>
                <w:vertAlign w:val="subscript"/>
              </w:rPr>
              <w:t>E</w:t>
            </w:r>
            <w:r>
              <w:rPr>
                <w:b/>
              </w:rPr>
              <w:t xml:space="preserve"> </w:t>
            </w:r>
            <w:r>
              <w:t xml:space="preserve">= résistance d’entrée de l’ALI </w:t>
            </w:r>
            <w:r>
              <w:rPr>
                <w:rFonts w:ascii="Symbol" w:hAnsi="Symbol"/>
              </w:rPr>
              <w:t></w:t>
            </w:r>
            <w:r>
              <w:rPr>
                <w:rFonts w:ascii="Times New Roman" w:hAnsi="Times New Roman"/>
              </w:rPr>
              <w:t xml:space="preserve"> </w:t>
            </w:r>
            <w:r>
              <w:rPr>
                <w:b/>
              </w:rPr>
              <w:t>∞</w:t>
            </w:r>
            <w:r>
              <w:t>.</w:t>
            </w:r>
          </w:p>
          <w:p w14:paraId="6467D5EB" w14:textId="77777777" w:rsidR="009F098A" w:rsidRDefault="009F098A" w:rsidP="0082495D">
            <w:r>
              <w:t xml:space="preserve">Alors la tension différentielle </w:t>
            </w:r>
            <w:r>
              <w:rPr>
                <w:b/>
              </w:rPr>
              <w:t xml:space="preserve">e = </w:t>
            </w:r>
            <w:proofErr w:type="gramStart"/>
            <w:r>
              <w:rPr>
                <w:b/>
              </w:rPr>
              <w:t>R</w:t>
            </w:r>
            <w:r>
              <w:rPr>
                <w:b/>
                <w:vertAlign w:val="subscript"/>
              </w:rPr>
              <w:t>E</w:t>
            </w:r>
            <w:r>
              <w:rPr>
                <w:b/>
              </w:rPr>
              <w:t xml:space="preserve"> .</w:t>
            </w:r>
            <w:proofErr w:type="gramEnd"/>
            <w:r>
              <w:rPr>
                <w:b/>
              </w:rPr>
              <w:t xml:space="preserve"> </w:t>
            </w:r>
            <w:proofErr w:type="spellStart"/>
            <w:r>
              <w:rPr>
                <w:b/>
              </w:rPr>
              <w:t>Ie</w:t>
            </w:r>
            <w:proofErr w:type="spellEnd"/>
            <w:r>
              <w:rPr>
                <w:b/>
              </w:rPr>
              <w:t xml:space="preserve"> </w:t>
            </w:r>
            <w:r>
              <w:rPr>
                <w:rFonts w:ascii="Symbol" w:hAnsi="Symbol"/>
              </w:rPr>
              <w:t></w:t>
            </w:r>
            <w:r>
              <w:rPr>
                <w:rFonts w:ascii="Times New Roman" w:hAnsi="Times New Roman"/>
              </w:rPr>
              <w:t xml:space="preserve"> </w:t>
            </w:r>
            <w:r>
              <w:t>0</w:t>
            </w:r>
          </w:p>
          <w:p w14:paraId="7E867C2C" w14:textId="77777777" w:rsidR="009F098A" w:rsidRDefault="009F098A" w:rsidP="0082495D">
            <w:r>
              <w:rPr>
                <w:b/>
              </w:rPr>
              <w:t>R</w:t>
            </w:r>
            <w:r>
              <w:rPr>
                <w:b/>
                <w:vertAlign w:val="subscript"/>
              </w:rPr>
              <w:t>S</w:t>
            </w:r>
            <w:r>
              <w:rPr>
                <w:b/>
              </w:rPr>
              <w:t xml:space="preserve"> </w:t>
            </w:r>
            <w:r>
              <w:t xml:space="preserve">= résistance de sortie de l’ALI </w:t>
            </w:r>
            <w:r>
              <w:rPr>
                <w:rFonts w:ascii="Symbol" w:hAnsi="Symbol"/>
              </w:rPr>
              <w:t></w:t>
            </w:r>
            <w:r>
              <w:rPr>
                <w:rFonts w:ascii="Times New Roman" w:hAnsi="Times New Roman"/>
              </w:rPr>
              <w:t xml:space="preserve"> </w:t>
            </w:r>
            <w:r>
              <w:t>0 ;</w:t>
            </w:r>
          </w:p>
          <w:p w14:paraId="0856A218" w14:textId="77777777" w:rsidR="009F098A" w:rsidRDefault="009F098A" w:rsidP="0082495D">
            <w:proofErr w:type="gramStart"/>
            <w:r>
              <w:rPr>
                <w:b/>
              </w:rPr>
              <w:t>R</w:t>
            </w:r>
            <w:r>
              <w:rPr>
                <w:b/>
                <w:vertAlign w:val="subscript"/>
              </w:rPr>
              <w:t>S</w:t>
            </w:r>
            <w:r>
              <w:rPr>
                <w:b/>
              </w:rPr>
              <w:t xml:space="preserve"> .</w:t>
            </w:r>
            <w:proofErr w:type="gramEnd"/>
            <w:r>
              <w:rPr>
                <w:b/>
              </w:rPr>
              <w:t xml:space="preserve"> Is </w:t>
            </w:r>
            <w:r>
              <w:rPr>
                <w:rFonts w:ascii="Symbol" w:hAnsi="Symbol"/>
              </w:rPr>
              <w:t></w:t>
            </w:r>
            <w:r>
              <w:rPr>
                <w:rFonts w:ascii="Times New Roman" w:hAnsi="Times New Roman"/>
              </w:rPr>
              <w:t xml:space="preserve"> </w:t>
            </w:r>
            <w:r>
              <w:t>0</w:t>
            </w:r>
          </w:p>
          <w:p w14:paraId="3932317F" w14:textId="77777777" w:rsidR="009F098A" w:rsidRDefault="009F098A" w:rsidP="0082495D">
            <w:pPr>
              <w:rPr>
                <w:b/>
              </w:rPr>
            </w:pPr>
            <w:r>
              <w:t xml:space="preserve">Caractéristique de transfert : </w:t>
            </w:r>
            <w:r>
              <w:rPr>
                <w:b/>
              </w:rPr>
              <w:t>Vs = f(e)</w:t>
            </w:r>
          </w:p>
          <w:p w14:paraId="55A194E6" w14:textId="77777777" w:rsidR="009F098A" w:rsidRPr="007B5B2C" w:rsidRDefault="009F098A" w:rsidP="0082495D">
            <w:pPr>
              <w:rPr>
                <w:lang w:val="en-US"/>
              </w:rPr>
            </w:pPr>
            <w:r w:rsidRPr="007B5B2C">
              <w:rPr>
                <w:lang w:val="en-US"/>
              </w:rPr>
              <w:t xml:space="preserve">Vs = </w:t>
            </w:r>
            <w:proofErr w:type="spellStart"/>
            <w:r w:rsidRPr="007B5B2C">
              <w:rPr>
                <w:lang w:val="en-US"/>
              </w:rPr>
              <w:t>Ao</w:t>
            </w:r>
            <w:proofErr w:type="spellEnd"/>
            <w:r w:rsidRPr="007B5B2C">
              <w:rPr>
                <w:lang w:val="en-US"/>
              </w:rPr>
              <w:t xml:space="preserve"> x e = </w:t>
            </w:r>
            <w:proofErr w:type="spellStart"/>
            <w:r w:rsidRPr="007B5B2C">
              <w:rPr>
                <w:lang w:val="en-US"/>
              </w:rPr>
              <w:t>Ao</w:t>
            </w:r>
            <w:proofErr w:type="spellEnd"/>
            <w:r w:rsidRPr="007B5B2C">
              <w:rPr>
                <w:lang w:val="en-US"/>
              </w:rPr>
              <w:t xml:space="preserve"> x (</w:t>
            </w:r>
            <w:proofErr w:type="spellStart"/>
            <w:r w:rsidRPr="007B5B2C">
              <w:rPr>
                <w:lang w:val="en-US"/>
              </w:rPr>
              <w:t>Ve</w:t>
            </w:r>
            <w:proofErr w:type="spellEnd"/>
            <w:r w:rsidRPr="007B5B2C">
              <w:rPr>
                <w:lang w:val="en-US"/>
              </w:rPr>
              <w:t xml:space="preserve">+ - </w:t>
            </w:r>
            <w:proofErr w:type="spellStart"/>
            <w:r w:rsidRPr="007B5B2C">
              <w:rPr>
                <w:lang w:val="en-US"/>
              </w:rPr>
              <w:t>Ve</w:t>
            </w:r>
            <w:proofErr w:type="spellEnd"/>
            <w:r w:rsidRPr="007B5B2C">
              <w:rPr>
                <w:lang w:val="en-US"/>
              </w:rPr>
              <w:t>-)</w:t>
            </w:r>
          </w:p>
        </w:tc>
        <w:tc>
          <w:tcPr>
            <w:tcW w:w="5101" w:type="dxa"/>
          </w:tcPr>
          <w:p w14:paraId="30FE5E02" w14:textId="6206C1F3" w:rsidR="009F098A" w:rsidRDefault="007E092D" w:rsidP="0082495D">
            <w:pPr>
              <w:rPr>
                <w:sz w:val="21"/>
              </w:rPr>
            </w:pPr>
            <w:r>
              <w:rPr>
                <w:noProof/>
              </w:rPr>
              <w:drawing>
                <wp:inline distT="0" distB="0" distL="0" distR="0" wp14:anchorId="384B8203" wp14:editId="43C774CC">
                  <wp:extent cx="3239135" cy="11874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39135" cy="1187450"/>
                          </a:xfrm>
                          <a:prstGeom prst="rect">
                            <a:avLst/>
                          </a:prstGeom>
                        </pic:spPr>
                      </pic:pic>
                    </a:graphicData>
                  </a:graphic>
                </wp:inline>
              </w:drawing>
            </w:r>
          </w:p>
        </w:tc>
      </w:tr>
    </w:tbl>
    <w:p w14:paraId="0005668F" w14:textId="77777777" w:rsidR="0082495D" w:rsidRDefault="00242528" w:rsidP="0082495D">
      <w:r>
        <w:t xml:space="preserve">Ao est le gain en boucle ouverte. </w:t>
      </w:r>
    </w:p>
    <w:p w14:paraId="345FDA9E" w14:textId="53D3D0FD" w:rsidR="00476E17" w:rsidRDefault="00242528" w:rsidP="0082495D">
      <w:r>
        <w:t xml:space="preserve">Caractéristique </w:t>
      </w:r>
      <w:proofErr w:type="gramStart"/>
      <w:r>
        <w:t xml:space="preserve">de </w:t>
      </w:r>
      <w:r w:rsidR="0082495D">
        <w:t xml:space="preserve"> </w:t>
      </w:r>
      <w:r>
        <w:t>transfert</w:t>
      </w:r>
      <w:proofErr w:type="gramEnd"/>
      <w:r>
        <w:t xml:space="preserve"> d’un ALI « </w:t>
      </w:r>
      <w:r>
        <w:rPr>
          <w:b/>
          <w:color w:val="FF0000"/>
        </w:rPr>
        <w:t xml:space="preserve">idéal </w:t>
      </w:r>
      <w:r>
        <w:t>».</w:t>
      </w:r>
    </w:p>
    <w:tbl>
      <w:tblPr>
        <w:tblStyle w:val="TableNormal"/>
        <w:tblW w:w="0" w:type="auto"/>
        <w:tblInd w:w="7" w:type="dxa"/>
        <w:tblLayout w:type="fixed"/>
        <w:tblLook w:val="01E0" w:firstRow="1" w:lastRow="1" w:firstColumn="1" w:lastColumn="1" w:noHBand="0" w:noVBand="0"/>
      </w:tblPr>
      <w:tblGrid>
        <w:gridCol w:w="4335"/>
        <w:gridCol w:w="5355"/>
      </w:tblGrid>
      <w:tr w:rsidR="007E092D" w14:paraId="15C8ADE9" w14:textId="77777777" w:rsidTr="007E092D">
        <w:trPr>
          <w:trHeight w:val="2993"/>
        </w:trPr>
        <w:tc>
          <w:tcPr>
            <w:tcW w:w="4335" w:type="dxa"/>
          </w:tcPr>
          <w:p w14:paraId="7D04EFE4" w14:textId="357CE947" w:rsidR="007E092D" w:rsidRDefault="007E092D" w:rsidP="007E092D">
            <w:r>
              <w:rPr>
                <w:noProof/>
              </w:rPr>
              <w:lastRenderedPageBreak/>
              <w:drawing>
                <wp:inline distT="0" distB="0" distL="0" distR="0" wp14:anchorId="140E18D2" wp14:editId="7BDAE376">
                  <wp:extent cx="2746375" cy="203962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46375" cy="2039620"/>
                          </a:xfrm>
                          <a:prstGeom prst="rect">
                            <a:avLst/>
                          </a:prstGeom>
                        </pic:spPr>
                      </pic:pic>
                    </a:graphicData>
                  </a:graphic>
                </wp:inline>
              </w:drawing>
            </w:r>
          </w:p>
        </w:tc>
        <w:tc>
          <w:tcPr>
            <w:tcW w:w="5355" w:type="dxa"/>
          </w:tcPr>
          <w:p w14:paraId="4174006E" w14:textId="77777777" w:rsidR="007E092D" w:rsidRDefault="007E092D" w:rsidP="007E092D">
            <w:r>
              <w:t>La tension de sortie Vs dépend directement de la tension différentielle d’entrée e.</w:t>
            </w:r>
          </w:p>
          <w:p w14:paraId="553B0587" w14:textId="77777777" w:rsidR="007E092D" w:rsidRDefault="007E092D" w:rsidP="007E092D">
            <w:r>
              <w:t>On distingue trois zones :</w:t>
            </w:r>
          </w:p>
          <w:p w14:paraId="17A3273E" w14:textId="77777777" w:rsidR="007E092D" w:rsidRDefault="007E092D" w:rsidP="007E092D">
            <w:proofErr w:type="gramStart"/>
            <w:r>
              <w:t>la</w:t>
            </w:r>
            <w:proofErr w:type="gramEnd"/>
            <w:r>
              <w:t xml:space="preserve"> zone de linéarité : e </w:t>
            </w:r>
            <w:r>
              <w:rPr>
                <w:rFonts w:ascii="Symbol" w:hAnsi="Symbol"/>
              </w:rPr>
              <w:t></w:t>
            </w:r>
            <w:r>
              <w:rPr>
                <w:rFonts w:ascii="Times New Roman" w:hAnsi="Times New Roman"/>
              </w:rPr>
              <w:t xml:space="preserve"> </w:t>
            </w:r>
            <w:r>
              <w:t xml:space="preserve">0 V ; </w:t>
            </w:r>
            <w:proofErr w:type="spellStart"/>
            <w:r>
              <w:t>Vsat</w:t>
            </w:r>
            <w:proofErr w:type="spellEnd"/>
            <w:r>
              <w:t xml:space="preserve">- &lt; Vs &lt; </w:t>
            </w:r>
            <w:proofErr w:type="spellStart"/>
            <w:r>
              <w:t>Vsat</w:t>
            </w:r>
            <w:proofErr w:type="spellEnd"/>
            <w:r>
              <w:t xml:space="preserve">+ la zone de saturation haute : e &gt; 0 V ; Vs = </w:t>
            </w:r>
            <w:proofErr w:type="spellStart"/>
            <w:r>
              <w:t>Vsat</w:t>
            </w:r>
            <w:proofErr w:type="spellEnd"/>
            <w:r>
              <w:t xml:space="preserve">+ la zone de saturation basse : e &lt; 0 V ; Vs = </w:t>
            </w:r>
            <w:proofErr w:type="spellStart"/>
            <w:r>
              <w:t>Vsat</w:t>
            </w:r>
            <w:proofErr w:type="spellEnd"/>
            <w:r>
              <w:t>-</w:t>
            </w:r>
          </w:p>
          <w:p w14:paraId="53B39EE0" w14:textId="77777777" w:rsidR="007E092D" w:rsidRDefault="007E092D" w:rsidP="007E092D">
            <w:pPr>
              <w:rPr>
                <w:b/>
              </w:rPr>
            </w:pPr>
            <w:r>
              <w:rPr>
                <w:b/>
                <w:u w:val="thick"/>
              </w:rPr>
              <w:t>Remarque :</w:t>
            </w:r>
          </w:p>
          <w:p w14:paraId="2CE2D9C2" w14:textId="77777777" w:rsidR="007E092D" w:rsidRDefault="007E092D" w:rsidP="007E092D">
            <w:r>
              <w:t xml:space="preserve">Si Vcc = </w:t>
            </w:r>
            <w:r>
              <w:rPr>
                <w:rFonts w:ascii="Symbol" w:hAnsi="Symbol"/>
              </w:rPr>
              <w:t></w:t>
            </w:r>
            <w:r>
              <w:t xml:space="preserve">15 V alors </w:t>
            </w:r>
            <w:proofErr w:type="spellStart"/>
            <w:r>
              <w:t>Vsat</w:t>
            </w:r>
            <w:proofErr w:type="spellEnd"/>
            <w:r>
              <w:t xml:space="preserve"> = </w:t>
            </w:r>
            <w:r>
              <w:rPr>
                <w:rFonts w:ascii="Symbol" w:hAnsi="Symbol"/>
              </w:rPr>
              <w:t></w:t>
            </w:r>
            <w:r>
              <w:t>14 V</w:t>
            </w:r>
          </w:p>
        </w:tc>
      </w:tr>
    </w:tbl>
    <w:p w14:paraId="2EE5C19E" w14:textId="63338987" w:rsidR="00476E17" w:rsidRDefault="00242528" w:rsidP="007E092D">
      <w:r>
        <w:t>Calculons la tension différentielle d’entrée « e » entraînant la saturation de la tension de</w:t>
      </w:r>
      <w:r w:rsidR="007E092D">
        <w:t xml:space="preserve"> </w:t>
      </w:r>
      <w:r>
        <w:t xml:space="preserve">sortie pour un LM 741CN en boucle ouverte avec Ao = 200 000 d’après </w:t>
      </w:r>
      <w:proofErr w:type="gramStart"/>
      <w:r>
        <w:t>le datasheet</w:t>
      </w:r>
      <w:proofErr w:type="gramEnd"/>
      <w:r>
        <w:t xml:space="preserve"> et alimenté en asymétrique avec Vcc = 15 V.</w:t>
      </w:r>
    </w:p>
    <w:p w14:paraId="4B2FEAE4" w14:textId="5743E33F" w:rsidR="007E092D" w:rsidRDefault="007E092D" w:rsidP="007E092D">
      <w:pPr>
        <w:jc w:val="center"/>
      </w:pPr>
      <w:r>
        <w:rPr>
          <w:noProof/>
        </w:rPr>
        <w:drawing>
          <wp:inline distT="0" distB="0" distL="0" distR="0" wp14:anchorId="6271C41F" wp14:editId="6F19EF94">
            <wp:extent cx="3060000" cy="3492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60000" cy="349200"/>
                    </a:xfrm>
                    <a:prstGeom prst="rect">
                      <a:avLst/>
                    </a:prstGeom>
                  </pic:spPr>
                </pic:pic>
              </a:graphicData>
            </a:graphic>
          </wp:inline>
        </w:drawing>
      </w:r>
    </w:p>
    <w:p w14:paraId="6F1F14A6" w14:textId="77777777" w:rsidR="00476E17" w:rsidRDefault="00242528" w:rsidP="007E092D">
      <w:pPr>
        <w:pStyle w:val="Titre3"/>
      </w:pPr>
      <w:r>
        <w:t>Conclusion :</w:t>
      </w:r>
    </w:p>
    <w:p w14:paraId="16681B72" w14:textId="77777777" w:rsidR="00476E17" w:rsidRDefault="00242528" w:rsidP="007E092D">
      <w:r>
        <w:t xml:space="preserve">Un tel montage est souvent incontrôlable (car trop sensible = 75 </w:t>
      </w:r>
      <w:proofErr w:type="spellStart"/>
      <w:r>
        <w:t>μ</w:t>
      </w:r>
      <w:proofErr w:type="gramStart"/>
      <w:r>
        <w:t>V</w:t>
      </w:r>
      <w:proofErr w:type="spellEnd"/>
      <w:r>
        <w:t xml:space="preserve"> )</w:t>
      </w:r>
      <w:proofErr w:type="gramEnd"/>
      <w:r>
        <w:t>. L’ALI sera toujours (ou presque) utilisé avec une contre réaction donc en boucle fermée (Exception : voir montage comparateur de tension).</w:t>
      </w:r>
    </w:p>
    <w:p w14:paraId="77C56A86" w14:textId="77777777" w:rsidR="007E092D" w:rsidRDefault="007E092D" w:rsidP="007E092D">
      <w:pPr>
        <w:pStyle w:val="Titre2"/>
      </w:pPr>
      <w:r>
        <w:t>FONCTIONNEMENT EN BOUCLE FERMÉE</w:t>
      </w:r>
    </w:p>
    <w:tbl>
      <w:tblPr>
        <w:tblStyle w:val="TableNormal"/>
        <w:tblW w:w="0" w:type="auto"/>
        <w:tblInd w:w="122" w:type="dxa"/>
        <w:tblLayout w:type="fixed"/>
        <w:tblLook w:val="01E0" w:firstRow="1" w:lastRow="1" w:firstColumn="1" w:lastColumn="1" w:noHBand="0" w:noVBand="0"/>
      </w:tblPr>
      <w:tblGrid>
        <w:gridCol w:w="4910"/>
        <w:gridCol w:w="4739"/>
      </w:tblGrid>
      <w:tr w:rsidR="007E092D" w14:paraId="562886FE" w14:textId="77777777" w:rsidTr="007E092D">
        <w:trPr>
          <w:trHeight w:val="3035"/>
        </w:trPr>
        <w:tc>
          <w:tcPr>
            <w:tcW w:w="4910" w:type="dxa"/>
          </w:tcPr>
          <w:p w14:paraId="3015F285" w14:textId="7FFED168" w:rsidR="007E092D" w:rsidRDefault="007E092D" w:rsidP="007E092D">
            <w:pPr>
              <w:pStyle w:val="TableParagraph"/>
              <w:spacing w:line="251" w:lineRule="exact"/>
              <w:ind w:left="200"/>
            </w:pPr>
            <w:r>
              <w:rPr>
                <w:sz w:val="22"/>
              </w:rPr>
              <w:t xml:space="preserve">Schéma équivalent du montage avec </w:t>
            </w:r>
            <w:r>
              <w:rPr>
                <w:b/>
                <w:sz w:val="22"/>
              </w:rPr>
              <w:t>réaction positive</w:t>
            </w:r>
            <w:r>
              <w:rPr>
                <w:sz w:val="22"/>
              </w:rPr>
              <w:t>.</w:t>
            </w:r>
          </w:p>
          <w:p w14:paraId="46B26BD3" w14:textId="420064A2" w:rsidR="007E092D" w:rsidRDefault="007E092D" w:rsidP="007E092D">
            <w:pPr>
              <w:pStyle w:val="TableParagraph"/>
              <w:spacing w:line="252" w:lineRule="exact"/>
              <w:ind w:right="246"/>
              <w:jc w:val="right"/>
            </w:pPr>
            <w:r>
              <w:rPr>
                <w:sz w:val="22"/>
              </w:rPr>
              <w:t>Symbole d’un comparateur dans</w:t>
            </w:r>
            <w:r>
              <w:rPr>
                <w:spacing w:val="-11"/>
                <w:sz w:val="22"/>
              </w:rPr>
              <w:t xml:space="preserve"> </w:t>
            </w:r>
            <w:r>
              <w:rPr>
                <w:sz w:val="22"/>
              </w:rPr>
              <w:t>une boucle</w:t>
            </w:r>
            <w:r>
              <w:rPr>
                <w:spacing w:val="-7"/>
                <w:sz w:val="22"/>
              </w:rPr>
              <w:t xml:space="preserve"> </w:t>
            </w:r>
            <w:r>
              <w:rPr>
                <w:sz w:val="22"/>
              </w:rPr>
              <w:t>d’asservissement</w:t>
            </w:r>
          </w:p>
          <w:p w14:paraId="244ECCE5" w14:textId="77777777" w:rsidR="007E092D" w:rsidRDefault="007E092D" w:rsidP="0023633F">
            <w:pPr>
              <w:pStyle w:val="TableParagraph"/>
              <w:spacing w:line="252" w:lineRule="exact"/>
              <w:ind w:left="200"/>
              <w:rPr>
                <w:b/>
              </w:rPr>
            </w:pPr>
            <w:r>
              <w:rPr>
                <w:b/>
                <w:sz w:val="22"/>
                <w:u w:val="thick"/>
              </w:rPr>
              <w:t>Remarques :</w:t>
            </w:r>
          </w:p>
          <w:p w14:paraId="7E173B7D" w14:textId="77777777" w:rsidR="007E092D" w:rsidRDefault="007E092D" w:rsidP="0023633F">
            <w:pPr>
              <w:pStyle w:val="TableParagraph"/>
              <w:spacing w:before="3" w:line="252" w:lineRule="exact"/>
              <w:ind w:left="200" w:right="360"/>
            </w:pPr>
            <w:r>
              <w:rPr>
                <w:sz w:val="22"/>
              </w:rPr>
              <w:t>On dit qu’il y a réaction positive quand la sortie est reliée à l’entrée non inverseuse. On dit qu’il y a contre-réaction (ou réaction négative) quand la sortie est reliée à l’entrée inverseuse.</w:t>
            </w:r>
          </w:p>
        </w:tc>
        <w:tc>
          <w:tcPr>
            <w:tcW w:w="4739" w:type="dxa"/>
          </w:tcPr>
          <w:p w14:paraId="1F4C9D45" w14:textId="31D95F15" w:rsidR="007E092D" w:rsidRPr="007E092D" w:rsidRDefault="007E092D" w:rsidP="007E092D">
            <w:pPr>
              <w:jc w:val="center"/>
              <w:rPr>
                <w:color w:val="FF0000"/>
              </w:rPr>
            </w:pPr>
            <w:r>
              <w:rPr>
                <w:color w:val="FF0000"/>
              </w:rPr>
              <w:t xml:space="preserve">                      </w:t>
            </w:r>
            <w:proofErr w:type="spellStart"/>
            <w:r w:rsidRPr="007E092D">
              <w:rPr>
                <w:color w:val="FF0000"/>
              </w:rPr>
              <w:t>KVs</w:t>
            </w:r>
            <w:proofErr w:type="spellEnd"/>
          </w:p>
          <w:p w14:paraId="2911BD89" w14:textId="64077231" w:rsidR="007E092D" w:rsidRDefault="0082495D" w:rsidP="0023633F">
            <w:pPr>
              <w:pStyle w:val="TableParagraph"/>
              <w:spacing w:before="25"/>
              <w:ind w:left="2649" w:right="1646"/>
              <w:jc w:val="center"/>
            </w:pPr>
            <w:r>
              <w:pict w14:anchorId="4FD06242">
                <v:group id="_x0000_s1239" style="width:208.5pt;height:123.85pt;mso-position-horizontal-relative:char;mso-position-vertical-relative:line" coordorigin="5662,-2960" coordsize="4578,2907">
                  <v:shape id="_x0000_s1240" type="#_x0000_t75" style="position:absolute;left:6301;top:-2901;width:3939;height:2773">
                    <v:imagedata r:id="rId20" o:title=""/>
                  </v:shape>
                  <v:rect id="_x0000_s1241" style="position:absolute;left:6850;top:-1755;width:279;height:495" stroked="f"/>
                  <v:line id="_x0000_s1242" style="position:absolute" from="5672,-2025" to="7236,-1524" strokeweight="1pt"/>
                  <v:shape id="_x0000_s1243" style="position:absolute;left:7100;top:-1628;width:136;height:134" coordorigin="7100,-1628" coordsize="136,134" path="m7143,-1628r93,104l7100,-1494e" filled="f" strokeweight="1pt">
                    <v:path arrowok="t"/>
                  </v:shape>
                  <v:shape id="_x0000_s1244" style="position:absolute;left:6806;top:-2961;width:2929;height:2907" coordorigin="6806,-2960" coordsize="2929,2907" o:spt="100" adj="0,,0" path="m7274,-377r-468,l6806,-53r468,l7274,-377xm9469,-2960r-1584,l7885,-2519r1584,l9469,-2960xm9735,-377r-468,l9267,-53r468,l9735,-377xe" stroked="f">
                    <v:stroke joinstyle="round"/>
                    <v:formulas/>
                    <v:path arrowok="t" o:connecttype="segments"/>
                  </v:shape>
                  <v:line id="_x0000_s1245" style="position:absolute" from="7985,-2701" to="9469,-2693" strokecolor="red" strokeweight="1pt"/>
                  <v:shape id="_x0000_s1246" style="position:absolute;left:7885;top:-2762;width:121;height:120" coordorigin="7885,-2761" coordsize="121,120" path="m8005,-2761r-120,59l8005,-2641r,-120xe" fillcolor="red" stroked="f">
                    <v:path arrowok="t"/>
                  </v:shape>
                  <w10:wrap type="none" anchorx="page"/>
                  <w10:anchorlock/>
                </v:group>
              </w:pict>
            </w:r>
          </w:p>
          <w:p w14:paraId="5C52237E" w14:textId="1E991DC9" w:rsidR="007E092D" w:rsidRDefault="007E092D" w:rsidP="007E092D">
            <w:pPr>
              <w:jc w:val="center"/>
            </w:pPr>
            <w:r>
              <w:t>Schéma équivalent du montage avec réaction positive</w:t>
            </w:r>
          </w:p>
        </w:tc>
      </w:tr>
    </w:tbl>
    <w:p w14:paraId="082EBC3D" w14:textId="77777777" w:rsidR="007E092D" w:rsidRDefault="00242528" w:rsidP="007E092D">
      <w:r>
        <w:t xml:space="preserve">Une contre-réaction assure un fonctionnement linéaire de l’ALI (e </w:t>
      </w:r>
      <w:r>
        <w:rPr>
          <w:rFonts w:ascii="Symbol" w:hAnsi="Symbol"/>
        </w:rPr>
        <w:t></w:t>
      </w:r>
      <w:r>
        <w:rPr>
          <w:rFonts w:ascii="Times New Roman" w:hAnsi="Times New Roman"/>
        </w:rPr>
        <w:t xml:space="preserve"> </w:t>
      </w:r>
      <w:r>
        <w:t>0 V).</w:t>
      </w:r>
    </w:p>
    <w:p w14:paraId="1BF5826B" w14:textId="03F83087" w:rsidR="00476E17" w:rsidRDefault="00242528" w:rsidP="007E092D">
      <w:r>
        <w:t>Une réaction positive provoque la saturation de l’ALI.</w:t>
      </w:r>
    </w:p>
    <w:p w14:paraId="700F0DE0" w14:textId="77777777" w:rsidR="00476E17" w:rsidRPr="007E092D" w:rsidRDefault="00242528" w:rsidP="007E092D">
      <w:pPr>
        <w:rPr>
          <w:b/>
          <w:bCs/>
          <w:color w:val="FF0000"/>
        </w:rPr>
      </w:pPr>
      <w:proofErr w:type="gramStart"/>
      <w:r w:rsidRPr="007E092D">
        <w:rPr>
          <w:b/>
          <w:bCs/>
          <w:color w:val="FF0000"/>
        </w:rPr>
        <w:t>e</w:t>
      </w:r>
      <w:proofErr w:type="gramEnd"/>
      <w:r w:rsidRPr="007E092D">
        <w:rPr>
          <w:b/>
          <w:bCs/>
          <w:color w:val="FF0000"/>
        </w:rPr>
        <w:t xml:space="preserve"> = Ve – </w:t>
      </w:r>
      <w:proofErr w:type="spellStart"/>
      <w:r w:rsidRPr="007E092D">
        <w:rPr>
          <w:b/>
          <w:bCs/>
          <w:color w:val="FF0000"/>
        </w:rPr>
        <w:t>KVs</w:t>
      </w:r>
      <w:proofErr w:type="spellEnd"/>
      <w:r w:rsidRPr="007E092D">
        <w:rPr>
          <w:b/>
          <w:bCs/>
          <w:color w:val="FF0000"/>
        </w:rPr>
        <w:t xml:space="preserve"> ; Vs = </w:t>
      </w:r>
      <w:proofErr w:type="spellStart"/>
      <w:r w:rsidRPr="007E092D">
        <w:rPr>
          <w:b/>
          <w:bCs/>
          <w:color w:val="FF0000"/>
        </w:rPr>
        <w:t>Ao.e</w:t>
      </w:r>
      <w:proofErr w:type="spellEnd"/>
    </w:p>
    <w:p w14:paraId="0C94324E" w14:textId="77777777" w:rsidR="00476E17" w:rsidRPr="007E092D" w:rsidRDefault="00242528" w:rsidP="007E092D">
      <w:pPr>
        <w:rPr>
          <w:b/>
          <w:bCs/>
          <w:color w:val="FF0000"/>
        </w:rPr>
      </w:pPr>
      <w:r w:rsidRPr="007E092D">
        <w:rPr>
          <w:b/>
          <w:bCs/>
          <w:color w:val="FF0000"/>
        </w:rPr>
        <w:t xml:space="preserve">Vs = </w:t>
      </w:r>
      <w:proofErr w:type="gramStart"/>
      <w:r w:rsidRPr="007E092D">
        <w:rPr>
          <w:b/>
          <w:bCs/>
          <w:color w:val="FF0000"/>
        </w:rPr>
        <w:t>Ao .</w:t>
      </w:r>
      <w:proofErr w:type="gramEnd"/>
      <w:r w:rsidRPr="007E092D">
        <w:rPr>
          <w:b/>
          <w:bCs/>
          <w:color w:val="FF0000"/>
        </w:rPr>
        <w:t xml:space="preserve"> (Ve – </w:t>
      </w:r>
      <w:proofErr w:type="spellStart"/>
      <w:r w:rsidRPr="007E092D">
        <w:rPr>
          <w:b/>
          <w:bCs/>
          <w:color w:val="FF0000"/>
        </w:rPr>
        <w:t>KVs</w:t>
      </w:r>
      <w:proofErr w:type="spellEnd"/>
      <w:r w:rsidRPr="007E092D">
        <w:rPr>
          <w:b/>
          <w:bCs/>
          <w:color w:val="FF0000"/>
        </w:rPr>
        <w:t xml:space="preserve">) ou encore Vs = </w:t>
      </w:r>
      <w:proofErr w:type="spellStart"/>
      <w:proofErr w:type="gramStart"/>
      <w:r w:rsidRPr="007E092D">
        <w:rPr>
          <w:b/>
          <w:bCs/>
          <w:color w:val="FF0000"/>
        </w:rPr>
        <w:t>Ao.Ve</w:t>
      </w:r>
      <w:proofErr w:type="spellEnd"/>
      <w:proofErr w:type="gramEnd"/>
      <w:r w:rsidRPr="007E092D">
        <w:rPr>
          <w:b/>
          <w:bCs/>
          <w:color w:val="FF0000"/>
        </w:rPr>
        <w:t xml:space="preserve"> – </w:t>
      </w:r>
      <w:proofErr w:type="spellStart"/>
      <w:r w:rsidRPr="007E092D">
        <w:rPr>
          <w:b/>
          <w:bCs/>
          <w:color w:val="FF0000"/>
        </w:rPr>
        <w:t>Ao.KVs</w:t>
      </w:r>
      <w:proofErr w:type="spellEnd"/>
      <w:r w:rsidRPr="007E092D">
        <w:rPr>
          <w:b/>
          <w:bCs/>
          <w:color w:val="FF0000"/>
        </w:rPr>
        <w:t xml:space="preserve"> soit </w:t>
      </w:r>
      <w:proofErr w:type="spellStart"/>
      <w:r w:rsidRPr="007E092D">
        <w:rPr>
          <w:b/>
          <w:bCs/>
          <w:color w:val="FF0000"/>
        </w:rPr>
        <w:t>Ao.Ve</w:t>
      </w:r>
      <w:proofErr w:type="spellEnd"/>
      <w:r w:rsidRPr="007E092D">
        <w:rPr>
          <w:b/>
          <w:bCs/>
          <w:color w:val="FF0000"/>
        </w:rPr>
        <w:t xml:space="preserve"> = Vs + </w:t>
      </w:r>
      <w:proofErr w:type="spellStart"/>
      <w:r w:rsidRPr="007E092D">
        <w:rPr>
          <w:b/>
          <w:bCs/>
          <w:color w:val="FF0000"/>
        </w:rPr>
        <w:t>Ao.KVs</w:t>
      </w:r>
      <w:proofErr w:type="spellEnd"/>
    </w:p>
    <w:p w14:paraId="25AA7586" w14:textId="1DE944EE" w:rsidR="00476E17" w:rsidRPr="00E44AB6" w:rsidRDefault="007E092D" w:rsidP="007E092D">
      <w:pPr>
        <w:rPr>
          <w:b/>
          <w:bCs/>
          <w:color w:val="FF0000"/>
        </w:rPr>
      </w:pPr>
      <w:proofErr w:type="gramStart"/>
      <w:r w:rsidRPr="00E44AB6">
        <w:rPr>
          <w:b/>
          <w:bCs/>
          <w:color w:val="FF0000"/>
        </w:rPr>
        <w:t>donc</w:t>
      </w:r>
      <w:proofErr w:type="gramEnd"/>
      <w:r w:rsidRPr="00E44AB6">
        <w:rPr>
          <w:b/>
          <w:bCs/>
          <w:color w:val="FF0000"/>
        </w:rPr>
        <w:t xml:space="preserve"> </w:t>
      </w:r>
      <w:proofErr w:type="spellStart"/>
      <w:r w:rsidRPr="00E44AB6">
        <w:rPr>
          <w:b/>
          <w:bCs/>
          <w:color w:val="FF0000"/>
        </w:rPr>
        <w:t>Ao.Ve</w:t>
      </w:r>
      <w:proofErr w:type="spellEnd"/>
      <w:r w:rsidRPr="00E44AB6">
        <w:rPr>
          <w:b/>
          <w:bCs/>
          <w:color w:val="FF0000"/>
        </w:rPr>
        <w:t xml:space="preserve"> = Vs (1 + </w:t>
      </w:r>
      <w:proofErr w:type="spellStart"/>
      <w:r w:rsidRPr="00E44AB6">
        <w:rPr>
          <w:b/>
          <w:bCs/>
          <w:color w:val="FF0000"/>
        </w:rPr>
        <w:t>Ao.K</w:t>
      </w:r>
      <w:proofErr w:type="spellEnd"/>
      <w:r w:rsidRPr="00E44AB6">
        <w:rPr>
          <w:b/>
          <w:bCs/>
          <w:color w:val="FF0000"/>
        </w:rPr>
        <w:t>) et</w:t>
      </w:r>
      <w:r w:rsidRPr="00E44AB6">
        <w:rPr>
          <w:noProof/>
          <w:color w:val="FF0000"/>
        </w:rPr>
        <w:t xml:space="preserve"> </w:t>
      </w:r>
      <m:oMath>
        <m:f>
          <m:fPr>
            <m:ctrlPr>
              <w:rPr>
                <w:rFonts w:ascii="Cambria Math" w:hAnsi="Cambria Math"/>
                <w:b/>
                <w:bCs/>
                <w:i/>
                <w:noProof/>
                <w:color w:val="FF0000"/>
                <w:sz w:val="32"/>
                <w:szCs w:val="28"/>
              </w:rPr>
            </m:ctrlPr>
          </m:fPr>
          <m:num>
            <m:r>
              <m:rPr>
                <m:sty m:val="bi"/>
              </m:rPr>
              <w:rPr>
                <w:rFonts w:ascii="Cambria Math" w:hAnsi="Cambria Math"/>
                <w:noProof/>
                <w:color w:val="FF0000"/>
                <w:sz w:val="32"/>
                <w:szCs w:val="28"/>
              </w:rPr>
              <m:t>Vs</m:t>
            </m:r>
          </m:num>
          <m:den>
            <m:r>
              <m:rPr>
                <m:sty m:val="bi"/>
              </m:rPr>
              <w:rPr>
                <w:rFonts w:ascii="Cambria Math" w:hAnsi="Cambria Math"/>
                <w:noProof/>
                <w:color w:val="FF0000"/>
                <w:sz w:val="32"/>
                <w:szCs w:val="28"/>
              </w:rPr>
              <m:t>Ve</m:t>
            </m:r>
          </m:den>
        </m:f>
        <m:r>
          <m:rPr>
            <m:sty m:val="bi"/>
          </m:rPr>
          <w:rPr>
            <w:rFonts w:ascii="Cambria Math" w:hAnsi="Cambria Math"/>
            <w:noProof/>
            <w:color w:val="FF0000"/>
            <w:sz w:val="32"/>
            <w:szCs w:val="28"/>
          </w:rPr>
          <m:t>=</m:t>
        </m:r>
        <m:f>
          <m:fPr>
            <m:ctrlPr>
              <w:rPr>
                <w:rFonts w:ascii="Cambria Math" w:hAnsi="Cambria Math"/>
                <w:b/>
                <w:bCs/>
                <w:i/>
                <w:noProof/>
                <w:color w:val="FF0000"/>
                <w:sz w:val="32"/>
                <w:szCs w:val="28"/>
              </w:rPr>
            </m:ctrlPr>
          </m:fPr>
          <m:num>
            <m:r>
              <m:rPr>
                <m:sty m:val="bi"/>
              </m:rPr>
              <w:rPr>
                <w:rFonts w:ascii="Cambria Math" w:hAnsi="Cambria Math"/>
                <w:noProof/>
                <w:color w:val="FF0000"/>
                <w:sz w:val="32"/>
                <w:szCs w:val="28"/>
              </w:rPr>
              <m:t>Ao</m:t>
            </m:r>
          </m:num>
          <m:den>
            <m:r>
              <m:rPr>
                <m:sty m:val="bi"/>
              </m:rPr>
              <w:rPr>
                <w:rFonts w:ascii="Cambria Math" w:hAnsi="Cambria Math"/>
                <w:noProof/>
                <w:color w:val="FF0000"/>
                <w:sz w:val="32"/>
                <w:szCs w:val="28"/>
              </w:rPr>
              <m:t>1+Ao.K</m:t>
            </m:r>
          </m:den>
        </m:f>
      </m:oMath>
    </w:p>
    <w:p w14:paraId="7E893761" w14:textId="254CDAC9" w:rsidR="007E092D" w:rsidRPr="007E092D" w:rsidRDefault="007E092D" w:rsidP="007E092D">
      <w:pPr>
        <w:rPr>
          <w:b/>
          <w:bCs/>
          <w:color w:val="FF0000"/>
          <w:sz w:val="15"/>
        </w:rPr>
      </w:pPr>
      <w:r w:rsidRPr="007E092D">
        <w:rPr>
          <w:b/>
          <w:bCs/>
          <w:color w:val="FF0000"/>
        </w:rPr>
        <w:t xml:space="preserve">Si </w:t>
      </w:r>
      <w:proofErr w:type="spellStart"/>
      <w:proofErr w:type="gramStart"/>
      <w:r w:rsidRPr="007E092D">
        <w:rPr>
          <w:b/>
          <w:bCs/>
          <w:color w:val="FF0000"/>
        </w:rPr>
        <w:t>Ao.K</w:t>
      </w:r>
      <w:proofErr w:type="spellEnd"/>
      <w:proofErr w:type="gramEnd"/>
      <w:r w:rsidRPr="007E092D">
        <w:rPr>
          <w:b/>
          <w:bCs/>
          <w:color w:val="FF0000"/>
        </w:rPr>
        <w:t xml:space="preserve"> &gt;&gt; 1 on peut écrire</w:t>
      </w:r>
      <w:r w:rsidR="00E44AB6">
        <w:rPr>
          <w:b/>
          <w:bCs/>
          <w:color w:val="FF0000"/>
        </w:rPr>
        <w:t xml:space="preserve"> </w:t>
      </w:r>
      <m:oMath>
        <m:f>
          <m:fPr>
            <m:ctrlPr>
              <w:rPr>
                <w:rFonts w:ascii="Cambria Math" w:hAnsi="Cambria Math"/>
                <w:b/>
                <w:bCs/>
                <w:i/>
                <w:noProof/>
                <w:color w:val="FF0000"/>
                <w:sz w:val="32"/>
                <w:szCs w:val="28"/>
              </w:rPr>
            </m:ctrlPr>
          </m:fPr>
          <m:num>
            <m:r>
              <m:rPr>
                <m:sty m:val="bi"/>
              </m:rPr>
              <w:rPr>
                <w:rFonts w:ascii="Cambria Math" w:hAnsi="Cambria Math"/>
                <w:noProof/>
                <w:color w:val="FF0000"/>
                <w:sz w:val="32"/>
                <w:szCs w:val="28"/>
              </w:rPr>
              <m:t>Vs</m:t>
            </m:r>
          </m:num>
          <m:den>
            <m:r>
              <m:rPr>
                <m:sty m:val="bi"/>
              </m:rPr>
              <w:rPr>
                <w:rFonts w:ascii="Cambria Math" w:hAnsi="Cambria Math"/>
                <w:noProof/>
                <w:color w:val="FF0000"/>
                <w:sz w:val="32"/>
                <w:szCs w:val="28"/>
              </w:rPr>
              <m:t>Ve</m:t>
            </m:r>
          </m:den>
        </m:f>
        <m:r>
          <m:rPr>
            <m:sty m:val="bi"/>
          </m:rPr>
          <w:rPr>
            <w:rFonts w:ascii="Cambria Math" w:hAnsi="Cambria Math"/>
            <w:noProof/>
            <w:color w:val="FF0000"/>
            <w:sz w:val="32"/>
            <w:szCs w:val="28"/>
          </w:rPr>
          <m:t>≈</m:t>
        </m:r>
        <m:f>
          <m:fPr>
            <m:ctrlPr>
              <w:rPr>
                <w:rFonts w:ascii="Cambria Math" w:hAnsi="Cambria Math"/>
                <w:b/>
                <w:bCs/>
                <w:i/>
                <w:noProof/>
                <w:color w:val="FF0000"/>
                <w:sz w:val="32"/>
                <w:szCs w:val="28"/>
              </w:rPr>
            </m:ctrlPr>
          </m:fPr>
          <m:num>
            <m:r>
              <m:rPr>
                <m:sty m:val="bi"/>
              </m:rPr>
              <w:rPr>
                <w:rFonts w:ascii="Cambria Math" w:hAnsi="Cambria Math"/>
                <w:noProof/>
                <w:color w:val="FF0000"/>
                <w:sz w:val="32"/>
                <w:szCs w:val="28"/>
              </w:rPr>
              <m:t>1</m:t>
            </m:r>
          </m:num>
          <m:den>
            <m:r>
              <m:rPr>
                <m:sty m:val="bi"/>
              </m:rPr>
              <w:rPr>
                <w:rFonts w:ascii="Cambria Math" w:hAnsi="Cambria Math"/>
                <w:noProof/>
                <w:color w:val="FF0000"/>
                <w:sz w:val="32"/>
                <w:szCs w:val="28"/>
              </w:rPr>
              <m:t>K</m:t>
            </m:r>
          </m:den>
        </m:f>
      </m:oMath>
    </w:p>
    <w:p w14:paraId="176B6B2D" w14:textId="619F6DE2" w:rsidR="00476E17" w:rsidRDefault="00242528">
      <w:pPr>
        <w:pStyle w:val="Titre1"/>
        <w:spacing w:before="93"/>
      </w:pPr>
      <w:r>
        <w:rPr>
          <w:u w:val="thick"/>
        </w:rPr>
        <w:t>Conclusion :</w:t>
      </w:r>
    </w:p>
    <w:p w14:paraId="5BCB4FA4" w14:textId="5490899E" w:rsidR="00476E17" w:rsidRDefault="00E44AB6">
      <w:pPr>
        <w:pStyle w:val="Titre1"/>
        <w:spacing w:line="230" w:lineRule="auto"/>
      </w:pPr>
      <w:r>
        <w:rPr>
          <w:color w:val="FF0000"/>
        </w:rPr>
        <w:t xml:space="preserve">On pose </w:t>
      </w:r>
      <m:oMath>
        <m:f>
          <m:fPr>
            <m:ctrlPr>
              <w:rPr>
                <w:rFonts w:ascii="Cambria Math" w:hAnsi="Cambria Math"/>
                <w:b w:val="0"/>
                <w:bCs w:val="0"/>
                <w:i/>
                <w:noProof/>
                <w:color w:val="FF0000"/>
                <w:sz w:val="32"/>
                <w:szCs w:val="28"/>
              </w:rPr>
            </m:ctrlPr>
          </m:fPr>
          <m:num>
            <m:r>
              <m:rPr>
                <m:sty m:val="bi"/>
              </m:rPr>
              <w:rPr>
                <w:rFonts w:ascii="Cambria Math" w:hAnsi="Cambria Math"/>
                <w:noProof/>
                <w:color w:val="FF0000"/>
                <w:sz w:val="32"/>
                <w:szCs w:val="28"/>
              </w:rPr>
              <m:t>Vs</m:t>
            </m:r>
          </m:num>
          <m:den>
            <m:r>
              <m:rPr>
                <m:sty m:val="bi"/>
              </m:rPr>
              <w:rPr>
                <w:rFonts w:ascii="Cambria Math" w:hAnsi="Cambria Math"/>
                <w:noProof/>
                <w:color w:val="FF0000"/>
                <w:sz w:val="32"/>
                <w:szCs w:val="28"/>
              </w:rPr>
              <m:t>Ve</m:t>
            </m:r>
          </m:den>
        </m:f>
        <m:r>
          <m:rPr>
            <m:sty m:val="bi"/>
          </m:rPr>
          <w:rPr>
            <w:rFonts w:ascii="Cambria Math" w:hAnsi="Cambria Math"/>
            <w:noProof/>
            <w:color w:val="FF0000"/>
            <w:sz w:val="32"/>
            <w:szCs w:val="28"/>
          </w:rPr>
          <m:t>≈A</m:t>
        </m:r>
      </m:oMath>
      <w:r w:rsidRPr="00E44AB6">
        <w:rPr>
          <w:b w:val="0"/>
          <w:bCs w:val="0"/>
          <w:color w:val="FF0000"/>
          <w:sz w:val="24"/>
        </w:rPr>
        <w:t>v</w:t>
      </w:r>
      <w:r w:rsidR="00242528">
        <w:rPr>
          <w:color w:val="FF0000"/>
        </w:rPr>
        <w:t xml:space="preserve"> (le gain en tension du montage).</w:t>
      </w:r>
    </w:p>
    <w:p w14:paraId="21BB2571" w14:textId="26C8E1A9" w:rsidR="00476E17" w:rsidRDefault="00242528">
      <w:pPr>
        <w:spacing w:before="9" w:line="244" w:lineRule="auto"/>
        <w:ind w:left="315" w:right="382" w:hanging="1"/>
        <w:rPr>
          <w:b/>
          <w:color w:val="FF0000"/>
          <w:sz w:val="22"/>
        </w:rPr>
      </w:pPr>
      <w:r>
        <w:rPr>
          <w:b/>
          <w:color w:val="FF0000"/>
          <w:sz w:val="22"/>
        </w:rPr>
        <w:t xml:space="preserve">Si </w:t>
      </w:r>
      <w:proofErr w:type="spellStart"/>
      <w:proofErr w:type="gramStart"/>
      <w:r>
        <w:rPr>
          <w:b/>
          <w:color w:val="FF0000"/>
          <w:sz w:val="22"/>
        </w:rPr>
        <w:t>Ao.K</w:t>
      </w:r>
      <w:proofErr w:type="spellEnd"/>
      <w:proofErr w:type="gramEnd"/>
      <w:r>
        <w:rPr>
          <w:b/>
          <w:color w:val="FF0000"/>
          <w:sz w:val="22"/>
        </w:rPr>
        <w:t xml:space="preserve"> &gt;&gt; 1, le gain Av ne dépend plus de Ao mais uniquement du facteur K qui est souvent un rapport de résistance donc parfaitement contrôlable.</w:t>
      </w:r>
    </w:p>
    <w:p w14:paraId="40A668EF" w14:textId="77777777" w:rsidR="00E44AB6" w:rsidRDefault="00E44AB6" w:rsidP="00E44AB6">
      <w:pPr>
        <w:pStyle w:val="Titre1"/>
      </w:pPr>
      <w:r>
        <w:lastRenderedPageBreak/>
        <w:t>LES PRINCIPAUX MONTAGES</w:t>
      </w:r>
    </w:p>
    <w:p w14:paraId="78AD7D9C" w14:textId="77777777" w:rsidR="00E44AB6" w:rsidRDefault="00E44AB6" w:rsidP="00E44AB6">
      <w:pPr>
        <w:pStyle w:val="Titre2"/>
      </w:pPr>
      <w:r>
        <w:t>MONTAGE SUIVEUR DE TENSION</w:t>
      </w:r>
    </w:p>
    <w:p w14:paraId="7B1D30C6" w14:textId="7FAE2F5C" w:rsidR="00476E17" w:rsidRDefault="00242528" w:rsidP="00E44AB6">
      <w:r>
        <w:t xml:space="preserve">L’ALI doit avoir une contre-réaction, on sait qu’en régime linéaire : e </w:t>
      </w:r>
      <w:r>
        <w:rPr>
          <w:rFonts w:ascii="Symbol" w:hAnsi="Symbol"/>
        </w:rPr>
        <w:t></w:t>
      </w:r>
      <w:r>
        <w:rPr>
          <w:rFonts w:ascii="Times New Roman" w:hAnsi="Times New Roman"/>
        </w:rPr>
        <w:t xml:space="preserve"> </w:t>
      </w:r>
      <w:r>
        <w:t>0 V.</w:t>
      </w:r>
    </w:p>
    <w:tbl>
      <w:tblPr>
        <w:tblStyle w:val="TableNormal"/>
        <w:tblW w:w="0" w:type="auto"/>
        <w:tblInd w:w="230" w:type="dxa"/>
        <w:tblLayout w:type="fixed"/>
        <w:tblLook w:val="01E0" w:firstRow="1" w:lastRow="1" w:firstColumn="1" w:lastColumn="1" w:noHBand="0" w:noVBand="0"/>
      </w:tblPr>
      <w:tblGrid>
        <w:gridCol w:w="5095"/>
        <w:gridCol w:w="4619"/>
      </w:tblGrid>
      <w:tr w:rsidR="00E44AB6" w14:paraId="15CBF9C6" w14:textId="77777777" w:rsidTr="00E44AB6">
        <w:trPr>
          <w:trHeight w:val="2823"/>
        </w:trPr>
        <w:tc>
          <w:tcPr>
            <w:tcW w:w="5095" w:type="dxa"/>
          </w:tcPr>
          <w:p w14:paraId="55F00C6B" w14:textId="07BEBEF4" w:rsidR="00E44AB6" w:rsidRDefault="00E44AB6" w:rsidP="00E44AB6">
            <w:r>
              <w:rPr>
                <w:noProof/>
              </w:rPr>
              <w:drawing>
                <wp:inline distT="0" distB="0" distL="0" distR="0" wp14:anchorId="3BB045D9" wp14:editId="747459F0">
                  <wp:extent cx="3235325" cy="1838325"/>
                  <wp:effectExtent l="0" t="0" r="317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35325" cy="1838325"/>
                          </a:xfrm>
                          <a:prstGeom prst="rect">
                            <a:avLst/>
                          </a:prstGeom>
                        </pic:spPr>
                      </pic:pic>
                    </a:graphicData>
                  </a:graphic>
                </wp:inline>
              </w:drawing>
            </w:r>
          </w:p>
        </w:tc>
        <w:tc>
          <w:tcPr>
            <w:tcW w:w="4619" w:type="dxa"/>
          </w:tcPr>
          <w:p w14:paraId="751943BA" w14:textId="77777777" w:rsidR="00E44AB6" w:rsidRDefault="00E44AB6" w:rsidP="00E44AB6">
            <w:proofErr w:type="spellStart"/>
            <w:proofErr w:type="gramStart"/>
            <w:r>
              <w:rPr>
                <w:sz w:val="22"/>
              </w:rPr>
              <w:t>u</w:t>
            </w:r>
            <w:r>
              <w:rPr>
                <w:sz w:val="22"/>
                <w:vertAlign w:val="subscript"/>
              </w:rPr>
              <w:t>S</w:t>
            </w:r>
            <w:proofErr w:type="spellEnd"/>
            <w:proofErr w:type="gramEnd"/>
            <w:r>
              <w:rPr>
                <w:sz w:val="22"/>
              </w:rPr>
              <w:t xml:space="preserve"> = </w:t>
            </w:r>
            <w:proofErr w:type="spellStart"/>
            <w:r>
              <w:rPr>
                <w:sz w:val="22"/>
              </w:rPr>
              <w:t>u</w:t>
            </w:r>
            <w:r>
              <w:rPr>
                <w:sz w:val="22"/>
                <w:vertAlign w:val="subscript"/>
              </w:rPr>
              <w:t>E</w:t>
            </w:r>
            <w:proofErr w:type="spellEnd"/>
            <w:r>
              <w:rPr>
                <w:sz w:val="22"/>
              </w:rPr>
              <w:t xml:space="preserve"> - e</w:t>
            </w:r>
          </w:p>
          <w:p w14:paraId="1E2ADE86" w14:textId="77777777" w:rsidR="00E44AB6" w:rsidRDefault="00E44AB6" w:rsidP="00E44AB6">
            <w:r>
              <w:rPr>
                <w:sz w:val="22"/>
              </w:rPr>
              <w:t xml:space="preserve">L’ALI possède une contre-réaction. </w:t>
            </w:r>
            <w:proofErr w:type="gramStart"/>
            <w:r>
              <w:rPr>
                <w:sz w:val="22"/>
              </w:rPr>
              <w:t>e</w:t>
            </w:r>
            <w:proofErr w:type="gramEnd"/>
            <w:r>
              <w:rPr>
                <w:sz w:val="22"/>
              </w:rPr>
              <w:t xml:space="preserve"> </w:t>
            </w:r>
            <w:r>
              <w:rPr>
                <w:rFonts w:ascii="Symbol" w:hAnsi="Symbol"/>
                <w:sz w:val="22"/>
              </w:rPr>
              <w:t></w:t>
            </w:r>
            <w:r>
              <w:rPr>
                <w:rFonts w:ascii="Times New Roman" w:hAnsi="Times New Roman"/>
                <w:sz w:val="22"/>
              </w:rPr>
              <w:t xml:space="preserve"> </w:t>
            </w:r>
            <w:r>
              <w:rPr>
                <w:sz w:val="22"/>
              </w:rPr>
              <w:t>0 V</w:t>
            </w:r>
          </w:p>
          <w:p w14:paraId="6DA7829C" w14:textId="77777777" w:rsidR="00E44AB6" w:rsidRDefault="00E44AB6" w:rsidP="00E44AB6">
            <w:r>
              <w:rPr>
                <w:sz w:val="22"/>
              </w:rPr>
              <w:t xml:space="preserve">Finalement : </w:t>
            </w:r>
            <w:proofErr w:type="spellStart"/>
            <w:r>
              <w:rPr>
                <w:sz w:val="22"/>
              </w:rPr>
              <w:t>u</w:t>
            </w:r>
            <w:r>
              <w:rPr>
                <w:sz w:val="22"/>
                <w:vertAlign w:val="subscript"/>
              </w:rPr>
              <w:t>S</w:t>
            </w:r>
            <w:proofErr w:type="spellEnd"/>
            <w:r>
              <w:rPr>
                <w:sz w:val="22"/>
              </w:rPr>
              <w:t xml:space="preserve"> = </w:t>
            </w:r>
            <w:proofErr w:type="spellStart"/>
            <w:r>
              <w:rPr>
                <w:sz w:val="22"/>
              </w:rPr>
              <w:t>u</w:t>
            </w:r>
            <w:r>
              <w:rPr>
                <w:sz w:val="22"/>
                <w:vertAlign w:val="subscript"/>
              </w:rPr>
              <w:t>E</w:t>
            </w:r>
            <w:proofErr w:type="spellEnd"/>
          </w:p>
          <w:p w14:paraId="1B8C7E82" w14:textId="77777777" w:rsidR="00E44AB6" w:rsidRDefault="00E44AB6" w:rsidP="00E44AB6">
            <w:pPr>
              <w:rPr>
                <w:b/>
              </w:rPr>
            </w:pPr>
            <w:r>
              <w:rPr>
                <w:b/>
                <w:sz w:val="22"/>
                <w:u w:val="thick"/>
              </w:rPr>
              <w:t>Remarques :</w:t>
            </w:r>
          </w:p>
          <w:p w14:paraId="1C236AFC" w14:textId="6C34723F" w:rsidR="00E44AB6" w:rsidRDefault="00E44AB6" w:rsidP="00E44AB6">
            <w:r>
              <w:rPr>
                <w:sz w:val="22"/>
              </w:rPr>
              <w:t>Le suiveur de tension permet de prélever une tension sans la perturber, car il possède un courant d'entrée nul. On le rencontre donc régulièrement lors de la présence de sonde.</w:t>
            </w:r>
          </w:p>
        </w:tc>
      </w:tr>
    </w:tbl>
    <w:p w14:paraId="2957B6FB" w14:textId="77777777" w:rsidR="00E44AB6" w:rsidRDefault="00E44AB6" w:rsidP="00E44AB6">
      <w:pPr>
        <w:pStyle w:val="Titre2"/>
      </w:pPr>
      <w:r>
        <w:t>MONTAGE AMPLIFICATEUR DE TENSION</w:t>
      </w:r>
    </w:p>
    <w:p w14:paraId="2407D16A" w14:textId="42B279AA" w:rsidR="00476E17" w:rsidRDefault="00242528">
      <w:pPr>
        <w:pStyle w:val="Corpsdetexte"/>
        <w:spacing w:before="220"/>
        <w:ind w:left="315"/>
      </w:pPr>
      <w:r>
        <w:t>L’amplification en tension est :</w:t>
      </w:r>
      <w:r w:rsidR="00E44AB6">
        <w:t xml:space="preserve"> </w:t>
      </w:r>
      <m:oMath>
        <m:r>
          <m:rPr>
            <m:sty m:val="bi"/>
          </m:rPr>
          <w:rPr>
            <w:rFonts w:ascii="Cambria Math" w:hAnsi="Cambria Math"/>
            <w:noProof/>
            <w:color w:val="FF0000"/>
            <w:sz w:val="24"/>
          </w:rPr>
          <m:t>A</m:t>
        </m:r>
      </m:oMath>
      <w:r w:rsidR="00E44AB6" w:rsidRPr="0082495D">
        <w:rPr>
          <w:b/>
          <w:bCs/>
          <w:color w:val="FF0000"/>
          <w:sz w:val="21"/>
          <w:szCs w:val="20"/>
        </w:rPr>
        <w:t>v</w:t>
      </w:r>
      <m:oMath>
        <m:r>
          <m:rPr>
            <m:sty m:val="bi"/>
          </m:rPr>
          <w:rPr>
            <w:rFonts w:ascii="Cambria Math" w:hAnsi="Cambria Math"/>
            <w:color w:val="FF0000"/>
            <w:sz w:val="21"/>
            <w:szCs w:val="20"/>
          </w:rPr>
          <m:t>=</m:t>
        </m:r>
        <m:f>
          <m:fPr>
            <m:ctrlPr>
              <w:rPr>
                <w:rFonts w:ascii="Cambria Math" w:hAnsi="Cambria Math"/>
                <w:b/>
                <w:bCs/>
                <w:i/>
                <w:noProof/>
                <w:color w:val="FF0000"/>
                <w:sz w:val="24"/>
              </w:rPr>
            </m:ctrlPr>
          </m:fPr>
          <m:num>
            <m:sSub>
              <m:sSubPr>
                <m:ctrlPr>
                  <w:rPr>
                    <w:rFonts w:ascii="Cambria Math" w:hAnsi="Cambria Math"/>
                    <w:b/>
                    <w:bCs/>
                    <w:i/>
                    <w:noProof/>
                    <w:color w:val="FF0000"/>
                    <w:sz w:val="24"/>
                  </w:rPr>
                </m:ctrlPr>
              </m:sSubPr>
              <m:e>
                <m:r>
                  <m:rPr>
                    <m:sty m:val="bi"/>
                  </m:rPr>
                  <w:rPr>
                    <w:rFonts w:ascii="Cambria Math" w:hAnsi="Cambria Math"/>
                    <w:noProof/>
                    <w:color w:val="FF0000"/>
                    <w:sz w:val="24"/>
                  </w:rPr>
                  <m:t>u</m:t>
                </m:r>
              </m:e>
              <m:sub>
                <m:r>
                  <m:rPr>
                    <m:sty m:val="bi"/>
                  </m:rPr>
                  <w:rPr>
                    <w:rFonts w:ascii="Cambria Math" w:hAnsi="Cambria Math"/>
                    <w:noProof/>
                    <w:color w:val="FF0000"/>
                    <w:sz w:val="24"/>
                  </w:rPr>
                  <m:t>s</m:t>
                </m:r>
              </m:sub>
            </m:sSub>
          </m:num>
          <m:den>
            <m:sSub>
              <m:sSubPr>
                <m:ctrlPr>
                  <w:rPr>
                    <w:rFonts w:ascii="Cambria Math" w:hAnsi="Cambria Math"/>
                    <w:b/>
                    <w:bCs/>
                    <w:i/>
                    <w:noProof/>
                    <w:color w:val="FF0000"/>
                    <w:sz w:val="24"/>
                  </w:rPr>
                </m:ctrlPr>
              </m:sSubPr>
              <m:e>
                <m:r>
                  <m:rPr>
                    <m:sty m:val="bi"/>
                  </m:rPr>
                  <w:rPr>
                    <w:rFonts w:ascii="Cambria Math" w:hAnsi="Cambria Math"/>
                    <w:noProof/>
                    <w:color w:val="FF0000"/>
                    <w:sz w:val="24"/>
                  </w:rPr>
                  <m:t>u</m:t>
                </m:r>
              </m:e>
              <m:sub>
                <m:r>
                  <m:rPr>
                    <m:sty m:val="bi"/>
                  </m:rPr>
                  <w:rPr>
                    <w:rFonts w:ascii="Cambria Math" w:hAnsi="Cambria Math"/>
                    <w:noProof/>
                    <w:color w:val="FF0000"/>
                    <w:sz w:val="24"/>
                  </w:rPr>
                  <m:t>E</m:t>
                </m:r>
              </m:sub>
            </m:sSub>
          </m:den>
        </m:f>
      </m:oMath>
    </w:p>
    <w:p w14:paraId="23330E44" w14:textId="4D722F1C" w:rsidR="00476E17" w:rsidRDefault="00242528">
      <w:pPr>
        <w:pStyle w:val="Corpsdetexte"/>
        <w:ind w:left="315"/>
      </w:pPr>
      <w:r>
        <w:t xml:space="preserve">Le gain en dB (décibels) est </w:t>
      </w:r>
      <w:r w:rsidRPr="0082495D">
        <w:rPr>
          <w:sz w:val="20"/>
          <w:szCs w:val="20"/>
        </w:rPr>
        <w:t>:</w:t>
      </w:r>
      <m:oMath>
        <m:r>
          <m:rPr>
            <m:sty m:val="bi"/>
          </m:rPr>
          <w:rPr>
            <w:rFonts w:ascii="Cambria Math" w:hAnsi="Cambria Math"/>
            <w:noProof/>
            <w:color w:val="FF0000"/>
            <w:sz w:val="24"/>
          </w:rPr>
          <m:t xml:space="preserve"> G</m:t>
        </m:r>
      </m:oMath>
      <w:r w:rsidR="00E44AB6" w:rsidRPr="0082495D">
        <w:rPr>
          <w:b/>
          <w:bCs/>
          <w:color w:val="FF0000"/>
          <w:sz w:val="21"/>
          <w:szCs w:val="20"/>
        </w:rPr>
        <w:t>v</w:t>
      </w:r>
      <m:oMath>
        <m:r>
          <m:rPr>
            <m:sty m:val="bi"/>
          </m:rPr>
          <w:rPr>
            <w:rFonts w:ascii="Cambria Math" w:hAnsi="Cambria Math"/>
            <w:color w:val="FF0000"/>
            <w:sz w:val="21"/>
            <w:szCs w:val="20"/>
          </w:rPr>
          <m:t>=</m:t>
        </m:r>
        <m:r>
          <m:rPr>
            <m:sty m:val="bi"/>
          </m:rPr>
          <w:rPr>
            <w:rFonts w:ascii="Cambria Math" w:hAnsi="Cambria Math"/>
            <w:noProof/>
            <w:color w:val="FF0000"/>
            <w:sz w:val="24"/>
          </w:rPr>
          <m:t>20</m:t>
        </m:r>
        <m:sSub>
          <m:sSubPr>
            <m:ctrlPr>
              <w:rPr>
                <w:rFonts w:ascii="Cambria Math" w:hAnsi="Cambria Math"/>
                <w:b/>
                <w:bCs/>
                <w:i/>
                <w:noProof/>
                <w:color w:val="FF0000"/>
                <w:sz w:val="24"/>
              </w:rPr>
            </m:ctrlPr>
          </m:sSubPr>
          <m:e>
            <m:r>
              <m:rPr>
                <m:sty m:val="bi"/>
              </m:rPr>
              <w:rPr>
                <w:rFonts w:ascii="Cambria Math" w:hAnsi="Cambria Math"/>
                <w:noProof/>
                <w:color w:val="FF0000"/>
                <w:sz w:val="24"/>
              </w:rPr>
              <m:t>log</m:t>
            </m:r>
          </m:e>
          <m:sub>
            <m:r>
              <m:rPr>
                <m:sty m:val="bi"/>
              </m:rPr>
              <w:rPr>
                <w:rFonts w:ascii="Cambria Math" w:hAnsi="Cambria Math"/>
                <w:noProof/>
                <w:color w:val="FF0000"/>
                <w:sz w:val="24"/>
              </w:rPr>
              <m:t>10</m:t>
            </m:r>
          </m:sub>
        </m:sSub>
        <m:d>
          <m:dPr>
            <m:begChr m:val="|"/>
            <m:endChr m:val="|"/>
            <m:ctrlPr>
              <w:rPr>
                <w:rFonts w:ascii="Cambria Math" w:hAnsi="Cambria Math"/>
                <w:b/>
                <w:bCs/>
                <w:i/>
                <w:noProof/>
                <w:color w:val="FF0000"/>
                <w:sz w:val="24"/>
              </w:rPr>
            </m:ctrlPr>
          </m:dPr>
          <m:e>
            <m:r>
              <m:rPr>
                <m:sty m:val="bi"/>
              </m:rPr>
              <w:rPr>
                <w:rFonts w:ascii="Cambria Math" w:hAnsi="Cambria Math"/>
                <w:noProof/>
                <w:color w:val="FF0000"/>
                <w:sz w:val="24"/>
              </w:rPr>
              <m:t>A</m:t>
            </m:r>
            <m:r>
              <m:rPr>
                <m:sty m:val="b"/>
              </m:rPr>
              <w:rPr>
                <w:rFonts w:ascii="Cambria Math" w:hAnsi="Cambria Math"/>
                <w:color w:val="FF0000"/>
                <w:sz w:val="21"/>
                <w:szCs w:val="20"/>
              </w:rPr>
              <m:t>v</m:t>
            </m:r>
          </m:e>
        </m:d>
      </m:oMath>
    </w:p>
    <w:p w14:paraId="6E6A196B" w14:textId="77777777" w:rsidR="0082495D" w:rsidRDefault="0082495D" w:rsidP="0082495D">
      <w:pPr>
        <w:pStyle w:val="Titre2"/>
      </w:pPr>
      <w:r>
        <w:t>MONTAGE AMPLIFICATEUR INVERSEUR</w:t>
      </w:r>
    </w:p>
    <w:tbl>
      <w:tblPr>
        <w:tblStyle w:val="TableNormal"/>
        <w:tblW w:w="0" w:type="auto"/>
        <w:tblInd w:w="1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925"/>
        <w:gridCol w:w="4774"/>
      </w:tblGrid>
      <w:tr w:rsidR="00E44AB6" w14:paraId="054508A1" w14:textId="77777777" w:rsidTr="0023633F">
        <w:trPr>
          <w:trHeight w:val="2665"/>
        </w:trPr>
        <w:tc>
          <w:tcPr>
            <w:tcW w:w="4925" w:type="dxa"/>
          </w:tcPr>
          <w:p w14:paraId="2E4CC241" w14:textId="762547EB" w:rsidR="00E44AB6" w:rsidRDefault="0082495D" w:rsidP="0023633F">
            <w:pPr>
              <w:pStyle w:val="TableParagraph"/>
              <w:ind w:left="-1" w:right="467"/>
              <w:jc w:val="center"/>
            </w:pPr>
            <w:r>
              <w:rPr>
                <w:sz w:val="22"/>
              </w:rPr>
              <w:pict w14:anchorId="0E94577F">
                <v:rect id="_x0000_s1099" style="position:absolute;left:0;text-align:left;margin-left:311.6pt;margin-top:412.35pt;width:36.9pt;height:22.95pt;z-index:-16286208;mso-position-horizontal-relative:page;mso-position-vertical-relative:page" stroked="f">
                  <w10:wrap anchorx="page" anchory="page"/>
                </v:rect>
              </w:pict>
            </w:r>
            <w:r>
              <w:rPr>
                <w:sz w:val="22"/>
              </w:rPr>
              <w:pict w14:anchorId="6BED62F9">
                <v:rect id="_x0000_s1098" style="position:absolute;left:0;text-align:left;margin-left:172pt;margin-top:485.2pt;width:17.1pt;height:9.9pt;z-index:-16285184;mso-position-horizontal-relative:page;mso-position-vertical-relative:page" stroked="f">
                  <w10:wrap anchorx="page" anchory="page"/>
                </v:rect>
              </w:pict>
            </w:r>
            <w:r w:rsidR="00E44AB6">
              <w:rPr>
                <w:noProof/>
              </w:rPr>
              <w:drawing>
                <wp:inline distT="0" distB="0" distL="0" distR="0" wp14:anchorId="3E8DEA56" wp14:editId="6563AC33">
                  <wp:extent cx="2924175" cy="201930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24175" cy="2019300"/>
                          </a:xfrm>
                          <a:prstGeom prst="rect">
                            <a:avLst/>
                          </a:prstGeom>
                        </pic:spPr>
                      </pic:pic>
                    </a:graphicData>
                  </a:graphic>
                </wp:inline>
              </w:drawing>
            </w:r>
          </w:p>
          <w:p w14:paraId="51C4FC8C" w14:textId="77777777" w:rsidR="00242528" w:rsidRDefault="00242528" w:rsidP="00242528">
            <w:pPr>
              <w:pStyle w:val="TableParagraph"/>
              <w:ind w:left="200" w:right="1314"/>
            </w:pPr>
            <w:r>
              <w:rPr>
                <w:sz w:val="22"/>
              </w:rPr>
              <w:t xml:space="preserve">Calculons Av et </w:t>
            </w:r>
            <w:proofErr w:type="spellStart"/>
            <w:r>
              <w:rPr>
                <w:sz w:val="22"/>
              </w:rPr>
              <w:t>Gv</w:t>
            </w:r>
            <w:proofErr w:type="spellEnd"/>
            <w:r>
              <w:rPr>
                <w:sz w:val="22"/>
              </w:rPr>
              <w:t xml:space="preserve"> si R1 = 4,7 k</w:t>
            </w:r>
            <w:r>
              <w:rPr>
                <w:rFonts w:ascii="Symbol" w:hAnsi="Symbol"/>
                <w:sz w:val="22"/>
              </w:rPr>
              <w:t></w:t>
            </w:r>
            <w:r>
              <w:rPr>
                <w:sz w:val="22"/>
              </w:rPr>
              <w:t>, et R2 = 100 k</w:t>
            </w:r>
            <w:r>
              <w:rPr>
                <w:rFonts w:ascii="Symbol" w:hAnsi="Symbol"/>
                <w:sz w:val="22"/>
              </w:rPr>
              <w:t></w:t>
            </w:r>
            <w:r>
              <w:rPr>
                <w:sz w:val="22"/>
              </w:rPr>
              <w:t>.</w:t>
            </w:r>
          </w:p>
          <w:p w14:paraId="0D1964E6" w14:textId="6BF8592C" w:rsidR="00242528" w:rsidRDefault="00242528" w:rsidP="00242528">
            <w:pPr>
              <w:pStyle w:val="TableParagraph"/>
              <w:spacing w:before="2"/>
              <w:rPr>
                <w:sz w:val="25"/>
              </w:rPr>
            </w:pPr>
            <m:oMathPara>
              <m:oMath>
                <m:r>
                  <m:rPr>
                    <m:sty m:val="bi"/>
                  </m:rPr>
                  <w:rPr>
                    <w:rFonts w:ascii="Cambria Math" w:hAnsi="Cambria Math"/>
                    <w:noProof/>
                    <w:color w:val="FF0000"/>
                    <w:sz w:val="22"/>
                    <w:szCs w:val="21"/>
                  </w:rPr>
                  <m:t>A</m:t>
                </m:r>
                <m:r>
                  <m:rPr>
                    <m:sty m:val="b"/>
                  </m:rPr>
                  <w:rPr>
                    <w:rFonts w:ascii="Cambria Math" w:hAnsi="Cambria Math"/>
                    <w:color w:val="FF0000"/>
                    <w:sz w:val="22"/>
                    <w:szCs w:val="21"/>
                  </w:rPr>
                  <m:t>v=-</m:t>
                </m:r>
                <m:f>
                  <m:fPr>
                    <m:ctrlPr>
                      <w:rPr>
                        <w:rFonts w:ascii="Cambria Math" w:hAnsi="Cambria Math"/>
                        <w:b/>
                        <w:bCs/>
                        <w:color w:val="FF0000"/>
                        <w:sz w:val="22"/>
                        <w:szCs w:val="21"/>
                      </w:rPr>
                    </m:ctrlPr>
                  </m:fPr>
                  <m:num>
                    <m:r>
                      <m:rPr>
                        <m:sty m:val="b"/>
                      </m:rPr>
                      <w:rPr>
                        <w:rFonts w:ascii="Cambria Math" w:hAnsi="Cambria Math"/>
                        <w:color w:val="FF0000"/>
                        <w:sz w:val="22"/>
                        <w:szCs w:val="21"/>
                      </w:rPr>
                      <m:t>R2</m:t>
                    </m:r>
                  </m:num>
                  <m:den>
                    <m:r>
                      <m:rPr>
                        <m:sty m:val="b"/>
                      </m:rPr>
                      <w:rPr>
                        <w:rFonts w:ascii="Cambria Math" w:hAnsi="Cambria Math"/>
                        <w:color w:val="FF0000"/>
                        <w:sz w:val="22"/>
                        <w:szCs w:val="21"/>
                      </w:rPr>
                      <m:t>R1</m:t>
                    </m:r>
                  </m:den>
                </m:f>
                <m:r>
                  <m:rPr>
                    <m:sty m:val="b"/>
                  </m:rPr>
                  <w:rPr>
                    <w:rFonts w:ascii="Cambria Math" w:hAnsi="Cambria Math"/>
                    <w:color w:val="FF0000"/>
                    <w:sz w:val="22"/>
                    <w:szCs w:val="21"/>
                  </w:rPr>
                  <m:t>=-</m:t>
                </m:r>
                <m:f>
                  <m:fPr>
                    <m:ctrlPr>
                      <w:rPr>
                        <w:rFonts w:ascii="Cambria Math" w:hAnsi="Cambria Math"/>
                        <w:b/>
                        <w:bCs/>
                        <w:color w:val="FF0000"/>
                        <w:sz w:val="22"/>
                        <w:szCs w:val="21"/>
                      </w:rPr>
                    </m:ctrlPr>
                  </m:fPr>
                  <m:num>
                    <m:r>
                      <m:rPr>
                        <m:sty m:val="b"/>
                      </m:rPr>
                      <w:rPr>
                        <w:rFonts w:ascii="Cambria Math" w:hAnsi="Cambria Math"/>
                        <w:color w:val="FF0000"/>
                        <w:sz w:val="22"/>
                        <w:szCs w:val="21"/>
                      </w:rPr>
                      <m:t>100</m:t>
                    </m:r>
                  </m:num>
                  <m:den>
                    <m:r>
                      <m:rPr>
                        <m:sty m:val="b"/>
                      </m:rPr>
                      <w:rPr>
                        <w:rFonts w:ascii="Cambria Math" w:hAnsi="Cambria Math"/>
                        <w:color w:val="FF0000"/>
                        <w:sz w:val="22"/>
                        <w:szCs w:val="21"/>
                      </w:rPr>
                      <m:t>4.7</m:t>
                    </m:r>
                  </m:den>
                </m:f>
                <m:r>
                  <m:rPr>
                    <m:sty m:val="b"/>
                  </m:rPr>
                  <w:rPr>
                    <w:rFonts w:ascii="Cambria Math" w:hAnsi="Cambria Math"/>
                    <w:color w:val="FF0000"/>
                    <w:sz w:val="22"/>
                    <w:szCs w:val="21"/>
                  </w:rPr>
                  <m:t>=-21.3</m:t>
                </m:r>
              </m:oMath>
            </m:oMathPara>
          </w:p>
          <w:p w14:paraId="68814554" w14:textId="22407D76" w:rsidR="00242528" w:rsidRDefault="00242528" w:rsidP="00242528">
            <w:pPr>
              <w:pStyle w:val="TableParagraph"/>
              <w:ind w:left="-1" w:right="467"/>
              <w:jc w:val="center"/>
            </w:pPr>
            <w:proofErr w:type="spellStart"/>
            <w:r>
              <w:rPr>
                <w:sz w:val="22"/>
              </w:rPr>
              <w:t>Gv</w:t>
            </w:r>
            <w:proofErr w:type="spellEnd"/>
            <w:r>
              <w:rPr>
                <w:sz w:val="22"/>
              </w:rPr>
              <w:t xml:space="preserve"> = 20 log</w:t>
            </w:r>
            <w:r>
              <w:rPr>
                <w:sz w:val="22"/>
                <w:vertAlign w:val="subscript"/>
              </w:rPr>
              <w:t>10</w:t>
            </w:r>
            <w:r>
              <w:rPr>
                <w:sz w:val="22"/>
              </w:rPr>
              <w:t xml:space="preserve"> |Av| = 26,6 dB</w:t>
            </w:r>
          </w:p>
        </w:tc>
        <w:tc>
          <w:tcPr>
            <w:tcW w:w="4774" w:type="dxa"/>
          </w:tcPr>
          <w:p w14:paraId="6DC49785" w14:textId="77777777" w:rsidR="00E44AB6" w:rsidRPr="00242528" w:rsidRDefault="0082495D" w:rsidP="00E44AB6">
            <w:pPr>
              <w:pStyle w:val="TableParagraph"/>
              <w:tabs>
                <w:tab w:val="left" w:pos="2194"/>
              </w:tabs>
              <w:spacing w:before="245" w:line="182" w:lineRule="auto"/>
              <w:ind w:left="57" w:right="34" w:hanging="3"/>
              <w:rPr>
                <w:b/>
                <w:bCs/>
                <w:color w:val="FF0000"/>
              </w:rPr>
            </w:pPr>
            <m:oMathPara>
              <m:oMath>
                <m:f>
                  <m:fPr>
                    <m:ctrlPr>
                      <w:rPr>
                        <w:rFonts w:ascii="Cambria Math" w:hAnsi="Cambria Math"/>
                        <w:b/>
                        <w:bCs/>
                        <w:i/>
                        <w:noProof/>
                        <w:color w:val="FF0000"/>
                      </w:rPr>
                    </m:ctrlPr>
                  </m:fPr>
                  <m:num>
                    <m:sSub>
                      <m:sSubPr>
                        <m:ctrlPr>
                          <w:rPr>
                            <w:rFonts w:ascii="Cambria Math" w:hAnsi="Cambria Math"/>
                            <w:b/>
                            <w:bCs/>
                            <w:i/>
                            <w:noProof/>
                            <w:color w:val="FF0000"/>
                          </w:rPr>
                        </m:ctrlPr>
                      </m:sSubPr>
                      <m:e>
                        <m:r>
                          <m:rPr>
                            <m:sty m:val="bi"/>
                          </m:rPr>
                          <w:rPr>
                            <w:rFonts w:ascii="Cambria Math" w:hAnsi="Cambria Math"/>
                            <w:noProof/>
                            <w:color w:val="FF0000"/>
                          </w:rPr>
                          <m:t>u</m:t>
                        </m:r>
                      </m:e>
                      <m:sub>
                        <m:r>
                          <m:rPr>
                            <m:sty m:val="bi"/>
                          </m:rPr>
                          <w:rPr>
                            <w:rFonts w:ascii="Cambria Math" w:hAnsi="Cambria Math"/>
                            <w:noProof/>
                            <w:color w:val="FF0000"/>
                          </w:rPr>
                          <m:t>s</m:t>
                        </m:r>
                      </m:sub>
                    </m:sSub>
                  </m:num>
                  <m:den>
                    <m:sSub>
                      <m:sSubPr>
                        <m:ctrlPr>
                          <w:rPr>
                            <w:rFonts w:ascii="Cambria Math" w:hAnsi="Cambria Math"/>
                            <w:b/>
                            <w:bCs/>
                            <w:i/>
                            <w:noProof/>
                            <w:color w:val="FF0000"/>
                          </w:rPr>
                        </m:ctrlPr>
                      </m:sSubPr>
                      <m:e>
                        <m:r>
                          <m:rPr>
                            <m:sty m:val="bi"/>
                          </m:rPr>
                          <w:rPr>
                            <w:rFonts w:ascii="Cambria Math" w:hAnsi="Cambria Math"/>
                            <w:noProof/>
                            <w:color w:val="FF0000"/>
                          </w:rPr>
                          <m:t>u</m:t>
                        </m:r>
                      </m:e>
                      <m:sub>
                        <m:r>
                          <m:rPr>
                            <m:sty m:val="bi"/>
                          </m:rPr>
                          <w:rPr>
                            <w:rFonts w:ascii="Cambria Math" w:hAnsi="Cambria Math"/>
                            <w:noProof/>
                            <w:color w:val="FF0000"/>
                          </w:rPr>
                          <m:t>E</m:t>
                        </m:r>
                      </m:sub>
                    </m:sSub>
                  </m:den>
                </m:f>
                <m:r>
                  <m:rPr>
                    <m:sty m:val="bi"/>
                  </m:rPr>
                  <w:rPr>
                    <w:rFonts w:ascii="Cambria Math" w:hAnsi="Cambria Math"/>
                    <w:noProof/>
                    <w:color w:val="FF0000"/>
                  </w:rPr>
                  <m:t>=-</m:t>
                </m:r>
                <m:f>
                  <m:fPr>
                    <m:ctrlPr>
                      <w:rPr>
                        <w:rFonts w:ascii="Cambria Math" w:hAnsi="Cambria Math"/>
                        <w:b/>
                        <w:bCs/>
                        <w:i/>
                        <w:noProof/>
                        <w:color w:val="FF0000"/>
                      </w:rPr>
                    </m:ctrlPr>
                  </m:fPr>
                  <m:num>
                    <m:r>
                      <m:rPr>
                        <m:sty m:val="bi"/>
                      </m:rPr>
                      <w:rPr>
                        <w:rFonts w:ascii="Cambria Math" w:hAnsi="Cambria Math"/>
                        <w:noProof/>
                        <w:color w:val="FF0000"/>
                      </w:rPr>
                      <m:t>R</m:t>
                    </m:r>
                    <m:r>
                      <m:rPr>
                        <m:sty m:val="bi"/>
                      </m:rPr>
                      <w:rPr>
                        <w:rFonts w:ascii="Cambria Math" w:hAnsi="Cambria Math"/>
                        <w:noProof/>
                        <w:color w:val="FF0000"/>
                      </w:rPr>
                      <m:t>2</m:t>
                    </m:r>
                  </m:num>
                  <m:den>
                    <m:r>
                      <m:rPr>
                        <m:sty m:val="bi"/>
                      </m:rPr>
                      <w:rPr>
                        <w:rFonts w:ascii="Cambria Math" w:hAnsi="Cambria Math"/>
                        <w:noProof/>
                        <w:color w:val="FF0000"/>
                      </w:rPr>
                      <m:t>R</m:t>
                    </m:r>
                    <m:r>
                      <m:rPr>
                        <m:sty m:val="bi"/>
                      </m:rPr>
                      <w:rPr>
                        <w:rFonts w:ascii="Cambria Math" w:hAnsi="Cambria Math"/>
                        <w:noProof/>
                        <w:color w:val="FF0000"/>
                      </w:rPr>
                      <m:t>1</m:t>
                    </m:r>
                  </m:den>
                </m:f>
              </m:oMath>
            </m:oMathPara>
          </w:p>
          <w:p w14:paraId="51BC7056" w14:textId="77777777" w:rsidR="00242528" w:rsidRDefault="00242528" w:rsidP="00E44AB6">
            <w:pPr>
              <w:pStyle w:val="TableParagraph"/>
              <w:tabs>
                <w:tab w:val="left" w:pos="2194"/>
              </w:tabs>
              <w:spacing w:before="245" w:line="182" w:lineRule="auto"/>
              <w:ind w:left="57" w:right="34" w:hanging="3"/>
            </w:pPr>
            <w:r>
              <w:rPr>
                <w:sz w:val="22"/>
              </w:rPr>
              <w:t xml:space="preserve">Caractéristique de transfert de </w:t>
            </w:r>
            <w:proofErr w:type="spellStart"/>
            <w:r>
              <w:rPr>
                <w:sz w:val="22"/>
              </w:rPr>
              <w:t>u</w:t>
            </w:r>
            <w:r>
              <w:rPr>
                <w:sz w:val="22"/>
                <w:vertAlign w:val="subscript"/>
              </w:rPr>
              <w:t>S</w:t>
            </w:r>
            <w:proofErr w:type="spellEnd"/>
            <w:r>
              <w:rPr>
                <w:sz w:val="22"/>
              </w:rPr>
              <w:t xml:space="preserve"> = f(</w:t>
            </w:r>
            <w:proofErr w:type="spellStart"/>
            <w:r>
              <w:rPr>
                <w:sz w:val="22"/>
              </w:rPr>
              <w:t>u</w:t>
            </w:r>
            <w:r>
              <w:rPr>
                <w:sz w:val="22"/>
                <w:vertAlign w:val="subscript"/>
              </w:rPr>
              <w:t>E</w:t>
            </w:r>
            <w:proofErr w:type="spellEnd"/>
            <w:r>
              <w:rPr>
                <w:sz w:val="22"/>
              </w:rPr>
              <w:t>) :</w:t>
            </w:r>
          </w:p>
          <w:p w14:paraId="258548C2" w14:textId="452E7C37" w:rsidR="00242528" w:rsidRDefault="00242528" w:rsidP="00E44AB6">
            <w:pPr>
              <w:pStyle w:val="TableParagraph"/>
              <w:tabs>
                <w:tab w:val="left" w:pos="2194"/>
              </w:tabs>
              <w:spacing w:before="245" w:line="182" w:lineRule="auto"/>
              <w:ind w:left="57" w:right="34" w:hanging="3"/>
            </w:pPr>
            <w:r>
              <w:rPr>
                <w:noProof/>
                <w:sz w:val="20"/>
              </w:rPr>
              <w:drawing>
                <wp:inline distT="0" distB="0" distL="0" distR="0" wp14:anchorId="2360362E" wp14:editId="3D0B4147">
                  <wp:extent cx="2619577" cy="1874520"/>
                  <wp:effectExtent l="0" t="0" r="0" b="0"/>
                  <wp:docPr id="1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png"/>
                          <pic:cNvPicPr/>
                        </pic:nvPicPr>
                        <pic:blipFill>
                          <a:blip r:embed="rId23" cstate="print"/>
                          <a:stretch>
                            <a:fillRect/>
                          </a:stretch>
                        </pic:blipFill>
                        <pic:spPr>
                          <a:xfrm>
                            <a:off x="0" y="0"/>
                            <a:ext cx="2619577" cy="1874520"/>
                          </a:xfrm>
                          <a:prstGeom prst="rect">
                            <a:avLst/>
                          </a:prstGeom>
                        </pic:spPr>
                      </pic:pic>
                    </a:graphicData>
                  </a:graphic>
                </wp:inline>
              </w:drawing>
            </w:r>
          </w:p>
        </w:tc>
      </w:tr>
    </w:tbl>
    <w:p w14:paraId="4740FCD9" w14:textId="41F11AEF" w:rsidR="00242528" w:rsidRDefault="00242528" w:rsidP="00242528">
      <w:pPr>
        <w:pStyle w:val="Titre2"/>
      </w:pPr>
      <w:r>
        <w:t>MONTAGE AMPLIFICATEUR ADDITIONNEUR</w:t>
      </w:r>
    </w:p>
    <w:tbl>
      <w:tblPr>
        <w:tblStyle w:val="Grilledutableau"/>
        <w:tblW w:w="0" w:type="auto"/>
        <w:tblInd w:w="315" w:type="dxa"/>
        <w:tblLook w:val="04A0" w:firstRow="1" w:lastRow="0" w:firstColumn="1" w:lastColumn="0" w:noHBand="0" w:noVBand="1"/>
      </w:tblPr>
      <w:tblGrid>
        <w:gridCol w:w="5155"/>
        <w:gridCol w:w="5155"/>
      </w:tblGrid>
      <w:tr w:rsidR="00242528" w14:paraId="0EB44842" w14:textId="77777777" w:rsidTr="00242528">
        <w:tc>
          <w:tcPr>
            <w:tcW w:w="5155" w:type="dxa"/>
          </w:tcPr>
          <w:p w14:paraId="5BABE020" w14:textId="3544BF27" w:rsidR="00242528" w:rsidRDefault="00242528" w:rsidP="00242528">
            <w:pPr>
              <w:pStyle w:val="Titre2"/>
              <w:ind w:left="0"/>
            </w:pPr>
            <w:r>
              <w:rPr>
                <w:noProof/>
                <w:sz w:val="20"/>
              </w:rPr>
              <w:drawing>
                <wp:inline distT="0" distB="0" distL="0" distR="0" wp14:anchorId="29661755" wp14:editId="4C99DB64">
                  <wp:extent cx="2972801" cy="1337310"/>
                  <wp:effectExtent l="0" t="0" r="0" b="0"/>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png"/>
                          <pic:cNvPicPr/>
                        </pic:nvPicPr>
                        <pic:blipFill>
                          <a:blip r:embed="rId24" cstate="print"/>
                          <a:stretch>
                            <a:fillRect/>
                          </a:stretch>
                        </pic:blipFill>
                        <pic:spPr>
                          <a:xfrm>
                            <a:off x="0" y="0"/>
                            <a:ext cx="2972801" cy="1337310"/>
                          </a:xfrm>
                          <a:prstGeom prst="rect">
                            <a:avLst/>
                          </a:prstGeom>
                        </pic:spPr>
                      </pic:pic>
                    </a:graphicData>
                  </a:graphic>
                </wp:inline>
              </w:drawing>
            </w:r>
          </w:p>
        </w:tc>
        <w:tc>
          <w:tcPr>
            <w:tcW w:w="5155" w:type="dxa"/>
          </w:tcPr>
          <w:p w14:paraId="5F550501" w14:textId="4034B730" w:rsidR="00242528" w:rsidRPr="00242528" w:rsidRDefault="00242528" w:rsidP="00242528">
            <w:pPr>
              <w:pStyle w:val="TableParagraph"/>
              <w:spacing w:line="252" w:lineRule="exact"/>
              <w:ind w:left="108"/>
              <w:rPr>
                <w:bCs/>
              </w:rPr>
            </w:pPr>
            <m:oMathPara>
              <m:oMath>
                <m:r>
                  <w:rPr>
                    <w:rFonts w:ascii="Cambria Math" w:hAnsi="Cambria Math"/>
                    <w:sz w:val="22"/>
                  </w:rPr>
                  <m:t>Vs=-R3*</m:t>
                </m:r>
                <m:d>
                  <m:dPr>
                    <m:ctrlPr>
                      <w:rPr>
                        <w:rFonts w:ascii="Cambria Math" w:hAnsi="Cambria Math"/>
                        <w:bCs/>
                        <w:i/>
                        <w:sz w:val="22"/>
                      </w:rPr>
                    </m:ctrlPr>
                  </m:dPr>
                  <m:e>
                    <m:f>
                      <m:fPr>
                        <m:ctrlPr>
                          <w:rPr>
                            <w:rFonts w:ascii="Cambria Math" w:hAnsi="Cambria Math"/>
                            <w:bCs/>
                            <w:i/>
                            <w:sz w:val="22"/>
                          </w:rPr>
                        </m:ctrlPr>
                      </m:fPr>
                      <m:num>
                        <m:r>
                          <w:rPr>
                            <w:rFonts w:ascii="Cambria Math" w:hAnsi="Cambria Math"/>
                            <w:sz w:val="22"/>
                          </w:rPr>
                          <m:t>V1</m:t>
                        </m:r>
                      </m:num>
                      <m:den>
                        <m:r>
                          <w:rPr>
                            <w:rFonts w:ascii="Cambria Math" w:hAnsi="Cambria Math"/>
                            <w:sz w:val="22"/>
                          </w:rPr>
                          <m:t>R1</m:t>
                        </m:r>
                      </m:den>
                    </m:f>
                    <m:r>
                      <w:rPr>
                        <w:rFonts w:ascii="Cambria Math" w:hAnsi="Cambria Math"/>
                        <w:sz w:val="22"/>
                      </w:rPr>
                      <m:t>+</m:t>
                    </m:r>
                    <m:f>
                      <m:fPr>
                        <m:ctrlPr>
                          <w:rPr>
                            <w:rFonts w:ascii="Cambria Math" w:hAnsi="Cambria Math"/>
                            <w:bCs/>
                            <w:i/>
                            <w:sz w:val="22"/>
                          </w:rPr>
                        </m:ctrlPr>
                      </m:fPr>
                      <m:num>
                        <m:r>
                          <w:rPr>
                            <w:rFonts w:ascii="Cambria Math" w:hAnsi="Cambria Math"/>
                            <w:sz w:val="22"/>
                          </w:rPr>
                          <m:t>V2</m:t>
                        </m:r>
                      </m:num>
                      <m:den>
                        <m:r>
                          <w:rPr>
                            <w:rFonts w:ascii="Cambria Math" w:hAnsi="Cambria Math"/>
                            <w:sz w:val="22"/>
                          </w:rPr>
                          <m:t>R2</m:t>
                        </m:r>
                      </m:den>
                    </m:f>
                  </m:e>
                </m:d>
              </m:oMath>
            </m:oMathPara>
          </w:p>
          <w:p w14:paraId="419D76A8" w14:textId="06DCCA99" w:rsidR="00242528" w:rsidRDefault="00242528" w:rsidP="00242528">
            <w:pPr>
              <w:pStyle w:val="TableParagraph"/>
              <w:spacing w:line="252" w:lineRule="exact"/>
              <w:ind w:left="108"/>
              <w:rPr>
                <w:b/>
              </w:rPr>
            </w:pPr>
            <w:r>
              <w:rPr>
                <w:b/>
                <w:sz w:val="22"/>
                <w:u w:val="thick"/>
              </w:rPr>
              <w:t>Remarques :</w:t>
            </w:r>
          </w:p>
          <w:p w14:paraId="50DDD090" w14:textId="77777777" w:rsidR="00242528" w:rsidRDefault="00242528" w:rsidP="00242528">
            <w:pPr>
              <w:pStyle w:val="TableParagraph"/>
              <w:ind w:left="108" w:right="183"/>
            </w:pPr>
            <w:r>
              <w:rPr>
                <w:sz w:val="22"/>
              </w:rPr>
              <w:t>Ce montage est aussi appelé « amplificateur sommateur de tension ».</w:t>
            </w:r>
          </w:p>
          <w:p w14:paraId="6BC20E87" w14:textId="5BADE4C2" w:rsidR="00242528" w:rsidRPr="00242528" w:rsidRDefault="00242528" w:rsidP="00242528">
            <w:pPr>
              <w:pStyle w:val="Titre2"/>
              <w:rPr>
                <w:b w:val="0"/>
                <w:bCs w:val="0"/>
                <w:u w:val="none"/>
              </w:rPr>
            </w:pPr>
            <w:r w:rsidRPr="00242528">
              <w:rPr>
                <w:b w:val="0"/>
                <w:bCs w:val="0"/>
                <w:u w:val="none"/>
              </w:rPr>
              <w:t>Si R1 = R2 = R3 alors Vs = - (V</w:t>
            </w:r>
            <w:r w:rsidRPr="00242528">
              <w:rPr>
                <w:b w:val="0"/>
                <w:bCs w:val="0"/>
                <w:u w:val="none"/>
                <w:vertAlign w:val="subscript"/>
              </w:rPr>
              <w:t>1</w:t>
            </w:r>
            <w:r w:rsidRPr="00242528">
              <w:rPr>
                <w:b w:val="0"/>
                <w:bCs w:val="0"/>
                <w:u w:val="none"/>
              </w:rPr>
              <w:t>+V</w:t>
            </w:r>
            <w:r w:rsidRPr="00242528">
              <w:rPr>
                <w:b w:val="0"/>
                <w:bCs w:val="0"/>
                <w:u w:val="none"/>
                <w:vertAlign w:val="subscript"/>
              </w:rPr>
              <w:t>2</w:t>
            </w:r>
            <w:r w:rsidRPr="00242528">
              <w:rPr>
                <w:b w:val="0"/>
                <w:bCs w:val="0"/>
                <w:u w:val="none"/>
              </w:rPr>
              <w:t>)</w:t>
            </w:r>
          </w:p>
        </w:tc>
      </w:tr>
    </w:tbl>
    <w:p w14:paraId="7507435B" w14:textId="2E0392C2" w:rsidR="007E092D" w:rsidRDefault="0082495D" w:rsidP="0082495D">
      <w:pPr>
        <w:pStyle w:val="Corpsdetexte"/>
        <w:spacing w:before="93"/>
        <w:ind w:left="315" w:right="492"/>
      </w:pPr>
      <w:r>
        <w:pict w14:anchorId="45EECF98">
          <v:shape id="_x0000_s1094" style="position:absolute;left:0;text-align:left;margin-left:169.45pt;margin-top:-96.4pt;width:28.05pt;height:22.35pt;z-index:-16285696;mso-position-horizontal-relative:page;mso-position-vertical-relative:text" coordorigin="3389,-1928" coordsize="561,447" path="m3950,-1711r-327,l3623,-1928r-234,l3389,-1481r234,l3623,-1581r327,l3950,-1711xe" stroked="f">
            <v:path arrowok="t"/>
            <w10:wrap anchorx="page"/>
          </v:shape>
        </w:pict>
      </w:r>
      <w:r w:rsidR="00242528">
        <w:t>Ils existent d’autres montages : amplificateur non inverseur, comparateur de tension, oscillateur, amplificateur de différence, …</w:t>
      </w:r>
    </w:p>
    <w:sectPr w:rsidR="007E092D" w:rsidSect="0082495D">
      <w:headerReference w:type="default" r:id="rId25"/>
      <w:footerReference w:type="default" r:id="rId26"/>
      <w:pgSz w:w="11910" w:h="16840"/>
      <w:pgMar w:top="567" w:right="567" w:bottom="567" w:left="567" w:header="142"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9E184E" w14:textId="77777777" w:rsidR="008A24F9" w:rsidRDefault="00242528">
      <w:pPr>
        <w:spacing w:before="0" w:after="0"/>
      </w:pPr>
      <w:r>
        <w:separator/>
      </w:r>
    </w:p>
  </w:endnote>
  <w:endnote w:type="continuationSeparator" w:id="0">
    <w:p w14:paraId="5E6346B6" w14:textId="77777777" w:rsidR="008A24F9" w:rsidRDefault="002425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mic Sans MS">
    <w:altName w:val="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B4C2E" w14:textId="7F4161E9" w:rsidR="0082495D" w:rsidRPr="0082495D" w:rsidRDefault="0082495D" w:rsidP="0082495D">
    <w:pPr>
      <w:pStyle w:val="Pieddepage"/>
      <w:pBdr>
        <w:top w:val="thinThickSmallGap" w:sz="24" w:space="1" w:color="004D6C" w:themeColor="accent2" w:themeShade="7F"/>
      </w:pBdr>
      <w:rPr>
        <w:rFonts w:asciiTheme="majorHAnsi" w:hAnsiTheme="majorHAnsi"/>
      </w:rPr>
    </w:pPr>
    <w:r>
      <w:rPr>
        <w:rFonts w:asciiTheme="majorHAnsi" w:hAnsiTheme="majorHAnsi"/>
      </w:rPr>
      <w:t>STI2D SIN</w:t>
    </w:r>
    <w:r>
      <w:rPr>
        <w:rFonts w:asciiTheme="majorHAnsi" w:hAnsiTheme="majorHAnsi"/>
      </w:rPr>
      <w:ptab w:relativeTo="margin" w:alignment="right" w:leader="none"/>
    </w:r>
    <w:r>
      <w:rPr>
        <w:rFonts w:asciiTheme="majorHAnsi" w:hAnsiTheme="majorHAnsi"/>
      </w:rPr>
      <w:t xml:space="preserve">Page </w:t>
    </w:r>
    <w:r>
      <w:rPr>
        <w:rFonts w:asciiTheme="minorHAnsi" w:hAnsiTheme="minorHAnsi"/>
      </w:rPr>
      <w:fldChar w:fldCharType="begin"/>
    </w:r>
    <w:r>
      <w:instrText xml:space="preserve"> PAGE   \* MERGEFORMAT </w:instrText>
    </w:r>
    <w:r>
      <w:rPr>
        <w:rFonts w:asciiTheme="minorHAnsi" w:hAnsiTheme="minorHAnsi"/>
      </w:rPr>
      <w:fldChar w:fldCharType="separate"/>
    </w:r>
    <w:r>
      <w:rPr>
        <w:rFonts w:asciiTheme="minorHAnsi" w:hAnsiTheme="minorHAnsi"/>
      </w:rPr>
      <w:t>1</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EB76D" w14:textId="77777777" w:rsidR="008A24F9" w:rsidRDefault="00242528">
      <w:pPr>
        <w:spacing w:before="0" w:after="0"/>
      </w:pPr>
      <w:r>
        <w:separator/>
      </w:r>
    </w:p>
  </w:footnote>
  <w:footnote w:type="continuationSeparator" w:id="0">
    <w:p w14:paraId="1F68D0AC" w14:textId="77777777" w:rsidR="008A24F9" w:rsidRDefault="0024252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re"/>
      <w:id w:val="77738743"/>
      <w:placeholder>
        <w:docPart w:val="105474239289473488258313928D1B11"/>
      </w:placeholder>
      <w:dataBinding w:prefixMappings="xmlns:ns0='http://schemas.openxmlformats.org/package/2006/metadata/core-properties' xmlns:ns1='http://purl.org/dc/elements/1.1/'" w:xpath="/ns0:coreProperties[1]/ns1:title[1]" w:storeItemID="{6C3C8BC8-F283-45AE-878A-BAB7291924A1}"/>
      <w:text/>
    </w:sdtPr>
    <w:sdtContent>
      <w:p w14:paraId="546BE58E" w14:textId="332C7BFA" w:rsidR="0082495D" w:rsidRPr="0082495D" w:rsidRDefault="0082495D" w:rsidP="0082495D">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Les ALI</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21BDF"/>
    <w:multiLevelType w:val="hybridMultilevel"/>
    <w:tmpl w:val="F9668A52"/>
    <w:lvl w:ilvl="0" w:tplc="CCE029B4">
      <w:numFmt w:val="bullet"/>
      <w:lvlText w:val="-"/>
      <w:lvlJc w:val="left"/>
      <w:pPr>
        <w:ind w:left="964" w:hanging="172"/>
      </w:pPr>
      <w:rPr>
        <w:rFonts w:ascii="Comic Sans MS" w:eastAsia="Comic Sans MS" w:hAnsi="Comic Sans MS" w:cs="Comic Sans MS" w:hint="default"/>
        <w:w w:val="100"/>
        <w:sz w:val="24"/>
        <w:szCs w:val="24"/>
        <w:lang w:val="fr-FR" w:eastAsia="en-US" w:bidi="ar-SA"/>
      </w:rPr>
    </w:lvl>
    <w:lvl w:ilvl="1" w:tplc="6966E5D0">
      <w:numFmt w:val="bullet"/>
      <w:lvlText w:val="•"/>
      <w:lvlJc w:val="left"/>
      <w:pPr>
        <w:ind w:left="1816" w:hanging="172"/>
      </w:pPr>
      <w:rPr>
        <w:rFonts w:hint="default"/>
        <w:lang w:val="fr-FR" w:eastAsia="en-US" w:bidi="ar-SA"/>
      </w:rPr>
    </w:lvl>
    <w:lvl w:ilvl="2" w:tplc="F3FEDCAC">
      <w:numFmt w:val="bullet"/>
      <w:lvlText w:val="•"/>
      <w:lvlJc w:val="left"/>
      <w:pPr>
        <w:ind w:left="2672" w:hanging="172"/>
      </w:pPr>
      <w:rPr>
        <w:rFonts w:hint="default"/>
        <w:lang w:val="fr-FR" w:eastAsia="en-US" w:bidi="ar-SA"/>
      </w:rPr>
    </w:lvl>
    <w:lvl w:ilvl="3" w:tplc="526C72D4">
      <w:numFmt w:val="bullet"/>
      <w:lvlText w:val="•"/>
      <w:lvlJc w:val="left"/>
      <w:pPr>
        <w:ind w:left="3528" w:hanging="172"/>
      </w:pPr>
      <w:rPr>
        <w:rFonts w:hint="default"/>
        <w:lang w:val="fr-FR" w:eastAsia="en-US" w:bidi="ar-SA"/>
      </w:rPr>
    </w:lvl>
    <w:lvl w:ilvl="4" w:tplc="B49C6A16">
      <w:numFmt w:val="bullet"/>
      <w:lvlText w:val="•"/>
      <w:lvlJc w:val="left"/>
      <w:pPr>
        <w:ind w:left="4384" w:hanging="172"/>
      </w:pPr>
      <w:rPr>
        <w:rFonts w:hint="default"/>
        <w:lang w:val="fr-FR" w:eastAsia="en-US" w:bidi="ar-SA"/>
      </w:rPr>
    </w:lvl>
    <w:lvl w:ilvl="5" w:tplc="62909E70">
      <w:numFmt w:val="bullet"/>
      <w:lvlText w:val="•"/>
      <w:lvlJc w:val="left"/>
      <w:pPr>
        <w:ind w:left="5240" w:hanging="172"/>
      </w:pPr>
      <w:rPr>
        <w:rFonts w:hint="default"/>
        <w:lang w:val="fr-FR" w:eastAsia="en-US" w:bidi="ar-SA"/>
      </w:rPr>
    </w:lvl>
    <w:lvl w:ilvl="6" w:tplc="D3CE1406">
      <w:numFmt w:val="bullet"/>
      <w:lvlText w:val="•"/>
      <w:lvlJc w:val="left"/>
      <w:pPr>
        <w:ind w:left="6096" w:hanging="172"/>
      </w:pPr>
      <w:rPr>
        <w:rFonts w:hint="default"/>
        <w:lang w:val="fr-FR" w:eastAsia="en-US" w:bidi="ar-SA"/>
      </w:rPr>
    </w:lvl>
    <w:lvl w:ilvl="7" w:tplc="A2786DA2">
      <w:numFmt w:val="bullet"/>
      <w:lvlText w:val="•"/>
      <w:lvlJc w:val="left"/>
      <w:pPr>
        <w:ind w:left="6952" w:hanging="172"/>
      </w:pPr>
      <w:rPr>
        <w:rFonts w:hint="default"/>
        <w:lang w:val="fr-FR" w:eastAsia="en-US" w:bidi="ar-SA"/>
      </w:rPr>
    </w:lvl>
    <w:lvl w:ilvl="8" w:tplc="6E5AF91C">
      <w:numFmt w:val="bullet"/>
      <w:lvlText w:val="•"/>
      <w:lvlJc w:val="left"/>
      <w:pPr>
        <w:ind w:left="7808" w:hanging="172"/>
      </w:pPr>
      <w:rPr>
        <w:rFonts w:hint="default"/>
        <w:lang w:val="fr-FR" w:eastAsia="en-US" w:bidi="ar-SA"/>
      </w:rPr>
    </w:lvl>
  </w:abstractNum>
  <w:abstractNum w:abstractNumId="1" w15:restartNumberingAfterBreak="0">
    <w:nsid w:val="4C7316B0"/>
    <w:multiLevelType w:val="hybridMultilevel"/>
    <w:tmpl w:val="2C02CF04"/>
    <w:lvl w:ilvl="0" w:tplc="7E8090EA">
      <w:start w:val="1"/>
      <w:numFmt w:val="decimal"/>
      <w:lvlText w:val="%1"/>
      <w:lvlJc w:val="left"/>
      <w:pPr>
        <w:ind w:left="292" w:hanging="184"/>
      </w:pPr>
      <w:rPr>
        <w:rFonts w:ascii="Arial" w:eastAsia="Arial" w:hAnsi="Arial" w:cs="Arial" w:hint="default"/>
        <w:w w:val="99"/>
        <w:sz w:val="22"/>
        <w:szCs w:val="22"/>
        <w:lang w:val="fr-FR" w:eastAsia="en-US" w:bidi="ar-SA"/>
      </w:rPr>
    </w:lvl>
    <w:lvl w:ilvl="1" w:tplc="C8A05DA6">
      <w:numFmt w:val="bullet"/>
      <w:lvlText w:val="•"/>
      <w:lvlJc w:val="left"/>
      <w:pPr>
        <w:ind w:left="551" w:hanging="184"/>
      </w:pPr>
      <w:rPr>
        <w:rFonts w:hint="default"/>
        <w:lang w:val="fr-FR" w:eastAsia="en-US" w:bidi="ar-SA"/>
      </w:rPr>
    </w:lvl>
    <w:lvl w:ilvl="2" w:tplc="3F8AEFAE">
      <w:numFmt w:val="bullet"/>
      <w:lvlText w:val="•"/>
      <w:lvlJc w:val="left"/>
      <w:pPr>
        <w:ind w:left="803" w:hanging="184"/>
      </w:pPr>
      <w:rPr>
        <w:rFonts w:hint="default"/>
        <w:lang w:val="fr-FR" w:eastAsia="en-US" w:bidi="ar-SA"/>
      </w:rPr>
    </w:lvl>
    <w:lvl w:ilvl="3" w:tplc="6F36D236">
      <w:numFmt w:val="bullet"/>
      <w:lvlText w:val="•"/>
      <w:lvlJc w:val="left"/>
      <w:pPr>
        <w:ind w:left="1054" w:hanging="184"/>
      </w:pPr>
      <w:rPr>
        <w:rFonts w:hint="default"/>
        <w:lang w:val="fr-FR" w:eastAsia="en-US" w:bidi="ar-SA"/>
      </w:rPr>
    </w:lvl>
    <w:lvl w:ilvl="4" w:tplc="07FCCA3A">
      <w:numFmt w:val="bullet"/>
      <w:lvlText w:val="•"/>
      <w:lvlJc w:val="left"/>
      <w:pPr>
        <w:ind w:left="1306" w:hanging="184"/>
      </w:pPr>
      <w:rPr>
        <w:rFonts w:hint="default"/>
        <w:lang w:val="fr-FR" w:eastAsia="en-US" w:bidi="ar-SA"/>
      </w:rPr>
    </w:lvl>
    <w:lvl w:ilvl="5" w:tplc="9F167C02">
      <w:numFmt w:val="bullet"/>
      <w:lvlText w:val="•"/>
      <w:lvlJc w:val="left"/>
      <w:pPr>
        <w:ind w:left="1557" w:hanging="184"/>
      </w:pPr>
      <w:rPr>
        <w:rFonts w:hint="default"/>
        <w:lang w:val="fr-FR" w:eastAsia="en-US" w:bidi="ar-SA"/>
      </w:rPr>
    </w:lvl>
    <w:lvl w:ilvl="6" w:tplc="DA28D1D0">
      <w:numFmt w:val="bullet"/>
      <w:lvlText w:val="•"/>
      <w:lvlJc w:val="left"/>
      <w:pPr>
        <w:ind w:left="1809" w:hanging="184"/>
      </w:pPr>
      <w:rPr>
        <w:rFonts w:hint="default"/>
        <w:lang w:val="fr-FR" w:eastAsia="en-US" w:bidi="ar-SA"/>
      </w:rPr>
    </w:lvl>
    <w:lvl w:ilvl="7" w:tplc="B0DA08E2">
      <w:numFmt w:val="bullet"/>
      <w:lvlText w:val="•"/>
      <w:lvlJc w:val="left"/>
      <w:pPr>
        <w:ind w:left="2060" w:hanging="184"/>
      </w:pPr>
      <w:rPr>
        <w:rFonts w:hint="default"/>
        <w:lang w:val="fr-FR" w:eastAsia="en-US" w:bidi="ar-SA"/>
      </w:rPr>
    </w:lvl>
    <w:lvl w:ilvl="8" w:tplc="39D2BB3A">
      <w:numFmt w:val="bullet"/>
      <w:lvlText w:val="•"/>
      <w:lvlJc w:val="left"/>
      <w:pPr>
        <w:ind w:left="2312" w:hanging="184"/>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76E17"/>
    <w:rsid w:val="00242528"/>
    <w:rsid w:val="00476E17"/>
    <w:rsid w:val="007B5B2C"/>
    <w:rsid w:val="007E092D"/>
    <w:rsid w:val="0082495D"/>
    <w:rsid w:val="008A24F9"/>
    <w:rsid w:val="009F098A"/>
    <w:rsid w:val="00E44A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418A83"/>
  <w15:docId w15:val="{695D9910-F861-4982-91FB-99423D90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8A"/>
    <w:pPr>
      <w:spacing w:before="120" w:after="120"/>
    </w:pPr>
    <w:rPr>
      <w:rFonts w:ascii="Arial" w:eastAsia="Arial" w:hAnsi="Arial" w:cs="Arial"/>
      <w:sz w:val="24"/>
      <w:lang w:val="fr-FR"/>
    </w:rPr>
  </w:style>
  <w:style w:type="paragraph" w:styleId="Titre1">
    <w:name w:val="heading 1"/>
    <w:basedOn w:val="Normal"/>
    <w:uiPriority w:val="9"/>
    <w:qFormat/>
    <w:pPr>
      <w:ind w:left="315"/>
      <w:outlineLvl w:val="0"/>
    </w:pPr>
    <w:rPr>
      <w:b/>
      <w:bCs/>
      <w:sz w:val="22"/>
    </w:rPr>
  </w:style>
  <w:style w:type="paragraph" w:styleId="Titre2">
    <w:name w:val="heading 2"/>
    <w:basedOn w:val="Normal"/>
    <w:uiPriority w:val="9"/>
    <w:unhideWhenUsed/>
    <w:qFormat/>
    <w:pPr>
      <w:ind w:left="315"/>
      <w:outlineLvl w:val="1"/>
    </w:pPr>
    <w:rPr>
      <w:b/>
      <w:bCs/>
      <w:i/>
      <w:sz w:val="22"/>
      <w:u w:val="single" w:color="000000"/>
    </w:rPr>
  </w:style>
  <w:style w:type="paragraph" w:styleId="Titre3">
    <w:name w:val="heading 3"/>
    <w:basedOn w:val="Normal"/>
    <w:next w:val="Normal"/>
    <w:link w:val="Titre3Car"/>
    <w:uiPriority w:val="9"/>
    <w:unhideWhenUsed/>
    <w:qFormat/>
    <w:rsid w:val="007E092D"/>
    <w:pPr>
      <w:keepNext/>
      <w:keepLines/>
      <w:spacing w:before="40" w:after="0"/>
      <w:outlineLvl w:val="2"/>
    </w:pPr>
    <w:rPr>
      <w:rFonts w:asciiTheme="majorHAnsi" w:eastAsiaTheme="majorEastAsia" w:hAnsiTheme="majorHAnsi" w:cstheme="majorBidi"/>
      <w:color w:val="073662"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2"/>
    </w:rPr>
  </w:style>
  <w:style w:type="paragraph" w:styleId="Titre">
    <w:name w:val="Title"/>
    <w:basedOn w:val="Normal"/>
    <w:uiPriority w:val="10"/>
    <w:qFormat/>
    <w:pPr>
      <w:spacing w:before="20"/>
      <w:jc w:val="center"/>
    </w:pPr>
    <w:rPr>
      <w:rFonts w:ascii="Comic Sans MS" w:eastAsia="Comic Sans MS" w:hAnsi="Comic Sans MS" w:cs="Comic Sans MS"/>
      <w:b/>
      <w:bCs/>
      <w:sz w:val="32"/>
      <w:szCs w:val="32"/>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7B5B2C"/>
    <w:pPr>
      <w:tabs>
        <w:tab w:val="center" w:pos="4536"/>
        <w:tab w:val="right" w:pos="9072"/>
      </w:tabs>
    </w:pPr>
  </w:style>
  <w:style w:type="character" w:customStyle="1" w:styleId="En-tteCar">
    <w:name w:val="En-tête Car"/>
    <w:basedOn w:val="Policepardfaut"/>
    <w:link w:val="En-tte"/>
    <w:uiPriority w:val="99"/>
    <w:rsid w:val="007B5B2C"/>
    <w:rPr>
      <w:rFonts w:ascii="Arial" w:eastAsia="Arial" w:hAnsi="Arial" w:cs="Arial"/>
      <w:lang w:val="fr-FR"/>
    </w:rPr>
  </w:style>
  <w:style w:type="paragraph" w:styleId="Pieddepage">
    <w:name w:val="footer"/>
    <w:basedOn w:val="Normal"/>
    <w:link w:val="PieddepageCar"/>
    <w:uiPriority w:val="99"/>
    <w:unhideWhenUsed/>
    <w:rsid w:val="007B5B2C"/>
    <w:pPr>
      <w:tabs>
        <w:tab w:val="center" w:pos="4536"/>
        <w:tab w:val="right" w:pos="9072"/>
      </w:tabs>
    </w:pPr>
  </w:style>
  <w:style w:type="character" w:customStyle="1" w:styleId="PieddepageCar">
    <w:name w:val="Pied de page Car"/>
    <w:basedOn w:val="Policepardfaut"/>
    <w:link w:val="Pieddepage"/>
    <w:uiPriority w:val="99"/>
    <w:rsid w:val="007B5B2C"/>
    <w:rPr>
      <w:rFonts w:ascii="Arial" w:eastAsia="Arial" w:hAnsi="Arial" w:cs="Arial"/>
      <w:lang w:val="fr-FR"/>
    </w:rPr>
  </w:style>
  <w:style w:type="character" w:customStyle="1" w:styleId="Titre3Car">
    <w:name w:val="Titre 3 Car"/>
    <w:basedOn w:val="Policepardfaut"/>
    <w:link w:val="Titre3"/>
    <w:uiPriority w:val="9"/>
    <w:rsid w:val="007E092D"/>
    <w:rPr>
      <w:rFonts w:asciiTheme="majorHAnsi" w:eastAsiaTheme="majorEastAsia" w:hAnsiTheme="majorHAnsi" w:cstheme="majorBidi"/>
      <w:color w:val="073662" w:themeColor="accent1" w:themeShade="7F"/>
      <w:sz w:val="24"/>
      <w:szCs w:val="24"/>
      <w:lang w:val="fr-FR"/>
    </w:rPr>
  </w:style>
  <w:style w:type="character" w:styleId="Textedelespacerserv">
    <w:name w:val="Placeholder Text"/>
    <w:basedOn w:val="Policepardfaut"/>
    <w:uiPriority w:val="99"/>
    <w:semiHidden/>
    <w:rsid w:val="007E092D"/>
    <w:rPr>
      <w:color w:val="808080"/>
    </w:rPr>
  </w:style>
  <w:style w:type="table" w:styleId="Grilledutableau">
    <w:name w:val="Table Grid"/>
    <w:basedOn w:val="TableauNormal"/>
    <w:uiPriority w:val="39"/>
    <w:rsid w:val="0024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glossaryDocument" Target="glossary/document.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5474239289473488258313928D1B11"/>
        <w:category>
          <w:name w:val="Général"/>
          <w:gallery w:val="placeholder"/>
        </w:category>
        <w:types>
          <w:type w:val="bbPlcHdr"/>
        </w:types>
        <w:behaviors>
          <w:behavior w:val="content"/>
        </w:behaviors>
        <w:guid w:val="{4650BEDD-E924-4A02-B591-AF52DC9FB65A}"/>
      </w:docPartPr>
      <w:docPartBody>
        <w:p w:rsidR="00000000" w:rsidRDefault="00A46C5B" w:rsidP="00A46C5B">
          <w:pPr>
            <w:pStyle w:val="105474239289473488258313928D1B11"/>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mic Sans MS">
    <w:altName w:val="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5B"/>
    <w:rsid w:val="00A46C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05474239289473488258313928D1B11">
    <w:name w:val="105474239289473488258313928D1B11"/>
    <w:rsid w:val="00A46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899</Words>
  <Characters>4949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ALI</dc:title>
  <dc:creator>Robert CIREDDU</dc:creator>
  <cp:lastModifiedBy>Gregoire</cp:lastModifiedBy>
  <cp:revision>4</cp:revision>
  <dcterms:created xsi:type="dcterms:W3CDTF">2020-11-21T15:39:00Z</dcterms:created>
  <dcterms:modified xsi:type="dcterms:W3CDTF">2020-11-21T16:23:00Z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2016-01-09T00:00:00Z</vt:filetime>
  </property>
  <property fmtid="{D5CDD505-2E9C-101B-9397-08002B2CF9AE}" pid="3" name="Creator">
    <vt:lpwstr>Acrobat PDFMaker 11 pour Word</vt:lpwstr>
  </property>
  <property fmtid="{D5CDD505-2E9C-101B-9397-08002B2CF9AE}" pid="4" name="LastSaved">
    <vt:filetime>2020-11-21T00:00:00Z</vt:filetime>
  </property>
</Properties>
</file>