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2FC1" w:rsidRDefault="00670AB9" w:rsidP="00412FC1">
      <w:r>
        <w:t>Le traitement de l’information est une des parties de la chaîne d’information. Lorsqu’une information est acquise par exemple par le biais d’un capteur, on extrait l’information par le biais de la fonction traiter. C’est le cas d’une information analogique qui nous intéresse ici.</w:t>
      </w:r>
    </w:p>
    <w:p w:rsidR="000D4834" w:rsidRDefault="000D4834" w:rsidP="00670AB9">
      <w:pPr>
        <w:pStyle w:val="Titre1"/>
      </w:pPr>
      <w:r>
        <w:t>Quelques définitions</w:t>
      </w:r>
    </w:p>
    <w:p w:rsidR="00412FC1" w:rsidRDefault="00AE7BB6" w:rsidP="00EB2E8C">
      <w:pPr>
        <w:pStyle w:val="Titre3"/>
      </w:pPr>
      <w:r>
        <w:t>Signal analogique et signal numérique</w:t>
      </w:r>
    </w:p>
    <w:p w:rsidR="00AE7BB6" w:rsidRDefault="00412FC1" w:rsidP="00412FC1">
      <w:r w:rsidRPr="00412FC1">
        <w:rPr>
          <w:noProof/>
        </w:rPr>
        <w:drawing>
          <wp:anchor distT="0" distB="0" distL="114300" distR="114300" simplePos="0" relativeHeight="251625984" behindDoc="0" locked="0" layoutInCell="1" allowOverlap="1">
            <wp:simplePos x="0" y="0"/>
            <wp:positionH relativeFrom="column">
              <wp:posOffset>3888740</wp:posOffset>
            </wp:positionH>
            <wp:positionV relativeFrom="paragraph">
              <wp:posOffset>295706</wp:posOffset>
            </wp:positionV>
            <wp:extent cx="2352708" cy="1871932"/>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107" r="1683"/>
                    <a:stretch/>
                  </pic:blipFill>
                  <pic:spPr bwMode="auto">
                    <a:xfrm>
                      <a:off x="0" y="0"/>
                      <a:ext cx="2352708" cy="1871932"/>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Un signal est décrit comme </w:t>
      </w:r>
      <w:r w:rsidRPr="00AE7BB6">
        <w:rPr>
          <w:b/>
        </w:rPr>
        <w:t>analogique</w:t>
      </w:r>
      <w:r>
        <w:t xml:space="preserve"> lorsque l’information qu’il porte représente une </w:t>
      </w:r>
      <w:r w:rsidRPr="00AE7BB6">
        <w:rPr>
          <w:b/>
        </w:rPr>
        <w:t>grandeur physique</w:t>
      </w:r>
      <w:r>
        <w:t xml:space="preserve"> (tension (V), intensité (A), bruit (dB), débit (m</w:t>
      </w:r>
      <w:r w:rsidRPr="00412FC1">
        <w:rPr>
          <w:vertAlign w:val="superscript"/>
        </w:rPr>
        <w:t>3</w:t>
      </w:r>
      <w:r>
        <w:t xml:space="preserve">), etc.) qui évolue </w:t>
      </w:r>
      <w:r w:rsidRPr="00AE7BB6">
        <w:rPr>
          <w:b/>
        </w:rPr>
        <w:t>continument</w:t>
      </w:r>
      <w:r>
        <w:t xml:space="preserve"> en fonction du temps. </w:t>
      </w:r>
    </w:p>
    <w:p w:rsidR="00BB3C9D" w:rsidRDefault="00412FC1" w:rsidP="00412FC1">
      <w:r>
        <w:t xml:space="preserve">A contrario, un signal est dit </w:t>
      </w:r>
      <w:r w:rsidRPr="00AE7BB6">
        <w:rPr>
          <w:b/>
        </w:rPr>
        <w:t>numérique</w:t>
      </w:r>
      <w:r>
        <w:t xml:space="preserve"> lorsqu’il représente une information par </w:t>
      </w:r>
      <w:r w:rsidRPr="00AE7BB6">
        <w:rPr>
          <w:b/>
        </w:rPr>
        <w:t>plusieurs informations finies</w:t>
      </w:r>
      <w:r>
        <w:t xml:space="preserve"> (1, 2, 4, 5, etc.) prêtes à être utilisées par un </w:t>
      </w:r>
      <w:r w:rsidRPr="00AE7BB6">
        <w:rPr>
          <w:b/>
        </w:rPr>
        <w:t>circuit numérique</w:t>
      </w:r>
      <w:r>
        <w:t>.</w:t>
      </w:r>
    </w:p>
    <w:tbl>
      <w:tblPr>
        <w:tblStyle w:val="Grilledutableau"/>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9834"/>
      </w:tblGrid>
      <w:tr w:rsidR="00C92492" w:rsidTr="000D4834">
        <w:tc>
          <w:tcPr>
            <w:tcW w:w="10004" w:type="dxa"/>
          </w:tcPr>
          <w:p w:rsidR="00670AB9" w:rsidRPr="000D4834" w:rsidRDefault="00670AB9" w:rsidP="00670AB9">
            <w:pPr>
              <w:rPr>
                <w:rFonts w:ascii="Maiandra GD" w:hAnsi="Maiandra GD"/>
                <w:b/>
                <w:i/>
              </w:rPr>
            </w:pPr>
            <w:r w:rsidRPr="000D4834">
              <w:rPr>
                <w:rFonts w:ascii="Maiandra GD" w:hAnsi="Maiandra GD"/>
                <w:b/>
                <w:i/>
              </w:rPr>
              <w:t>Rappel des conventions électriques</w:t>
            </w:r>
          </w:p>
          <w:p w:rsidR="00670AB9" w:rsidRPr="000D4834" w:rsidRDefault="00670AB9" w:rsidP="00412FC1">
            <w:pPr>
              <w:rPr>
                <w:rFonts w:ascii="Maiandra GD" w:hAnsi="Maiandra GD"/>
                <w:i/>
              </w:rPr>
            </w:pPr>
            <w:r w:rsidRPr="000D4834">
              <w:rPr>
                <w:rFonts w:ascii="Maiandra GD" w:hAnsi="Maiandra GD"/>
                <w:i/>
                <w:u w:val="single"/>
              </w:rPr>
              <w:t>Récepteur</w:t>
            </w:r>
            <w:r w:rsidRPr="000D4834">
              <w:rPr>
                <w:rFonts w:ascii="Maiandra GD" w:hAnsi="Maiandra GD"/>
                <w:i/>
              </w:rPr>
              <w:t xml:space="preserve"> : </w:t>
            </w:r>
            <w:r w:rsidR="000D4834" w:rsidRPr="000D4834">
              <w:rPr>
                <w:rFonts w:ascii="Maiandra GD" w:hAnsi="Maiandra GD"/>
                <w:i/>
              </w:rPr>
              <w:t>Le récepteur absorbe l’énergie électrique qui le parcours. La flèche de courant est dans le sens opposé de la flèche de tension.</w:t>
            </w:r>
          </w:p>
          <w:p w:rsidR="00670AB9" w:rsidRDefault="00670AB9" w:rsidP="00412FC1">
            <w:r w:rsidRPr="000D4834">
              <w:rPr>
                <w:rFonts w:ascii="Maiandra GD" w:hAnsi="Maiandra GD"/>
                <w:i/>
                <w:u w:val="single"/>
              </w:rPr>
              <w:t>Générateur</w:t>
            </w:r>
            <w:r w:rsidRPr="000D4834">
              <w:rPr>
                <w:rFonts w:ascii="Maiandra GD" w:hAnsi="Maiandra GD"/>
                <w:i/>
              </w:rPr>
              <w:t xml:space="preserve"> : </w:t>
            </w:r>
            <w:r w:rsidR="000D4834" w:rsidRPr="000D4834">
              <w:rPr>
                <w:rFonts w:ascii="Maiandra GD" w:hAnsi="Maiandra GD"/>
                <w:i/>
              </w:rPr>
              <w:t xml:space="preserve"> le générateur délivre une énergie électrique. La flèche de courant est dans le même sens que la flèche de tension.</w:t>
            </w:r>
          </w:p>
        </w:tc>
      </w:tr>
    </w:tbl>
    <w:p w:rsidR="00412FC1" w:rsidRDefault="00AE7BB6" w:rsidP="00EB2E8C">
      <w:pPr>
        <w:pStyle w:val="Titre3"/>
      </w:pPr>
      <w:r>
        <w:t>Fonction de transfert</w:t>
      </w:r>
    </w:p>
    <w:p w:rsidR="000D4834" w:rsidRDefault="000D4834" w:rsidP="00412FC1">
      <w:r>
        <w:t xml:space="preserve">La fonction de transfert est une </w:t>
      </w:r>
      <w:r w:rsidRPr="000D4834">
        <w:rPr>
          <w:b/>
        </w:rPr>
        <w:t>caractéristique mathématique</w:t>
      </w:r>
      <w:r>
        <w:t xml:space="preserve"> d’un système. Elle caractérise la relation qu’il existe entre la </w:t>
      </w:r>
      <w:r w:rsidRPr="000D4834">
        <w:rPr>
          <w:b/>
        </w:rPr>
        <w:t>grandeur d’entrée</w:t>
      </w:r>
      <w:r>
        <w:t xml:space="preserve"> et la </w:t>
      </w:r>
      <w:r w:rsidRPr="000D4834">
        <w:rPr>
          <w:b/>
        </w:rPr>
        <w:t>grandeur de sortie</w:t>
      </w:r>
      <w:r>
        <w:t xml:space="preserve"> du système. On sait par exemple qu’une résistance s’oppose au passage de l’électricité. Le potentiel avant la résistance est toujours supérieur à celui en sortie.</w:t>
      </w:r>
    </w:p>
    <w:p w:rsidR="000D4834" w:rsidRDefault="00C92492" w:rsidP="00412FC1">
      <w:r>
        <w:rPr>
          <w:noProof/>
        </w:rPr>
        <w:drawing>
          <wp:anchor distT="0" distB="0" distL="114300" distR="114300" simplePos="0" relativeHeight="251635200" behindDoc="0" locked="0" layoutInCell="1" allowOverlap="1">
            <wp:simplePos x="0" y="0"/>
            <wp:positionH relativeFrom="column">
              <wp:posOffset>4427711</wp:posOffset>
            </wp:positionH>
            <wp:positionV relativeFrom="paragraph">
              <wp:posOffset>76356</wp:posOffset>
            </wp:positionV>
            <wp:extent cx="1945648" cy="1526876"/>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5648" cy="1526876"/>
                    </a:xfrm>
                    <a:prstGeom prst="rect">
                      <a:avLst/>
                    </a:prstGeom>
                    <a:noFill/>
                    <a:ln>
                      <a:noFill/>
                    </a:ln>
                  </pic:spPr>
                </pic:pic>
              </a:graphicData>
            </a:graphic>
          </wp:anchor>
        </w:drawing>
      </w:r>
      <w:r w:rsidR="000D4834">
        <w:t>Dans l’illustration ci-contre, on ajoute une résistance (en rouge) pour réduire la tension appliquée au récepteur. En entrée, on observe 12 V, puis 10 V en sortie. On note alors la fonction de transfert comme ceci :</w:t>
      </w:r>
    </w:p>
    <w:p w:rsidR="000D4834" w:rsidRPr="00C92492" w:rsidRDefault="000D4834" w:rsidP="00412FC1">
      <w:pPr>
        <w:rPr>
          <w:rFonts w:eastAsiaTheme="minorEastAsia"/>
        </w:rPr>
      </w:pPr>
      <m:oMathPara>
        <m:oMath>
          <m:f>
            <m:fPr>
              <m:ctrlPr>
                <w:rPr>
                  <w:rFonts w:ascii="Cambria Math" w:hAnsi="Cambria Math"/>
                  <w:i/>
                </w:rPr>
              </m:ctrlPr>
            </m:fPr>
            <m:num>
              <m:r>
                <w:rPr>
                  <w:rFonts w:ascii="Cambria Math" w:hAnsi="Cambria Math"/>
                </w:rPr>
                <m:t>Vs</m:t>
              </m:r>
            </m:num>
            <m:den>
              <m:r>
                <w:rPr>
                  <w:rFonts w:ascii="Cambria Math" w:hAnsi="Cambria Math"/>
                </w:rPr>
                <m:t>Ve</m:t>
              </m:r>
            </m:den>
          </m:f>
          <m:r>
            <w:rPr>
              <w:rFonts w:ascii="Cambria Math" w:hAnsi="Cambria Math"/>
            </w:rPr>
            <m:t>=</m:t>
          </m:r>
          <m:f>
            <m:fPr>
              <m:ctrlPr>
                <w:rPr>
                  <w:rFonts w:ascii="Cambria Math" w:hAnsi="Cambria Math"/>
                  <w:i/>
                </w:rPr>
              </m:ctrlPr>
            </m:fPr>
            <m:num>
              <m:r>
                <w:rPr>
                  <w:rFonts w:ascii="Cambria Math" w:hAnsi="Cambria Math"/>
                </w:rPr>
                <m:t>10</m:t>
              </m:r>
            </m:num>
            <m:den>
              <m:r>
                <w:rPr>
                  <w:rFonts w:ascii="Cambria Math" w:hAnsi="Cambria Math"/>
                </w:rPr>
                <m:t>12</m:t>
              </m:r>
            </m:den>
          </m:f>
        </m:oMath>
      </m:oMathPara>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tblGrid>
      <w:tr w:rsidR="00F95617" w:rsidTr="00C92492">
        <w:trPr>
          <w:trHeight w:val="401"/>
        </w:trPr>
        <w:tc>
          <w:tcPr>
            <w:tcW w:w="8322" w:type="dxa"/>
          </w:tcPr>
          <w:p w:rsidR="00C92492" w:rsidRPr="00C92492" w:rsidRDefault="00C92492" w:rsidP="00C92492">
            <w:pPr>
              <w:rPr>
                <w:rFonts w:eastAsiaTheme="minorEastAsia"/>
                <w:color w:val="FF0000"/>
              </w:rPr>
            </w:pPr>
            <w:r w:rsidRPr="00C92492">
              <w:rPr>
                <w:noProof/>
                <w:color w:val="FF0000"/>
              </w:rPr>
              <w:drawing>
                <wp:anchor distT="0" distB="0" distL="114300" distR="114300" simplePos="0" relativeHeight="251667968" behindDoc="1" locked="0" layoutInCell="1" allowOverlap="1">
                  <wp:simplePos x="0" y="0"/>
                  <wp:positionH relativeFrom="column">
                    <wp:posOffset>-45085</wp:posOffset>
                  </wp:positionH>
                  <wp:positionV relativeFrom="paragraph">
                    <wp:posOffset>-1905</wp:posOffset>
                  </wp:positionV>
                  <wp:extent cx="232410" cy="205740"/>
                  <wp:effectExtent l="0" t="0" r="0" b="0"/>
                  <wp:wrapTight wrapText="bothSides">
                    <wp:wrapPolygon edited="0">
                      <wp:start x="5311" y="0"/>
                      <wp:lineTo x="0" y="14000"/>
                      <wp:lineTo x="0" y="20000"/>
                      <wp:lineTo x="19475" y="20000"/>
                      <wp:lineTo x="19475" y="14000"/>
                      <wp:lineTo x="14164" y="0"/>
                      <wp:lineTo x="5311" y="0"/>
                    </wp:wrapPolygon>
                  </wp:wrapTight>
                  <wp:docPr id="4" name="Image 4" descr="Résultat de recherche d'images pour &quot;panneau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anneau attention&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 cy="20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2492">
              <w:rPr>
                <w:rFonts w:eastAsiaTheme="minorEastAsia"/>
                <w:i/>
                <w:color w:val="FF0000"/>
              </w:rPr>
              <w:t>Le résultat de la fonction de transfert est sans dimension !</w:t>
            </w:r>
          </w:p>
        </w:tc>
      </w:tr>
    </w:tbl>
    <w:p w:rsidR="00C92492" w:rsidRDefault="00C92492" w:rsidP="00412FC1">
      <w:r>
        <w:t>En fonction du résultat obtenu, on peut déterminer si la fonction remplie par le composant est une atténuation ou une amplification !</w:t>
      </w:r>
    </w:p>
    <w:p w:rsidR="00C92492" w:rsidRDefault="00C92492" w:rsidP="00C92492">
      <w:pPr>
        <w:pStyle w:val="Titre1"/>
      </w:pPr>
      <w:r>
        <w:lastRenderedPageBreak/>
        <w:t>Amplification</w:t>
      </w:r>
      <w:r w:rsidR="004719A5">
        <w:t xml:space="preserve"> et atténuation</w:t>
      </w:r>
    </w:p>
    <w:p w:rsidR="00C92492" w:rsidRDefault="00C92492" w:rsidP="00C92492">
      <w:r>
        <w:t>Amplifier un signal électrique signifie augmenter une de ses grandeurs. On peut par exemple augmenter le courant (amplification de coura</w:t>
      </w:r>
      <w:bookmarkStart w:id="0" w:name="_GoBack"/>
      <w:bookmarkEnd w:id="0"/>
      <w:r>
        <w:t>nt) ou la tension (amplification de tension). On utilise l’amplification lorsque le signal comportant l’information est trop faible pour extraire directement les informations</w:t>
      </w:r>
      <w:r w:rsidR="00696119">
        <w:t>.</w:t>
      </w:r>
    </w:p>
    <w:p w:rsidR="00696119" w:rsidRDefault="00696119" w:rsidP="00C92492">
      <w:r w:rsidRPr="00696119">
        <w:rPr>
          <w:noProof/>
        </w:rPr>
        <w:drawing>
          <wp:anchor distT="0" distB="0" distL="114300" distR="114300" simplePos="0" relativeHeight="251671040" behindDoc="0" locked="0" layoutInCell="1" allowOverlap="1">
            <wp:simplePos x="0" y="0"/>
            <wp:positionH relativeFrom="column">
              <wp:posOffset>4216951</wp:posOffset>
            </wp:positionH>
            <wp:positionV relativeFrom="paragraph">
              <wp:posOffset>290243</wp:posOffset>
            </wp:positionV>
            <wp:extent cx="2181225" cy="223393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122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Une </w:t>
      </w:r>
      <w:r w:rsidRPr="00696119">
        <w:rPr>
          <w:b/>
        </w:rPr>
        <w:t>opération d’amplification</w:t>
      </w:r>
      <w:r>
        <w:t xml:space="preserve"> consiste à </w:t>
      </w:r>
      <w:r w:rsidRPr="00696119">
        <w:rPr>
          <w:b/>
        </w:rPr>
        <w:t>multiplier le signal</w:t>
      </w:r>
      <w:r>
        <w:t xml:space="preserve"> par une constante </w:t>
      </w:r>
      <w:r w:rsidRPr="00696119">
        <w:rPr>
          <w:b/>
        </w:rPr>
        <w:t>supérieure à 1</w:t>
      </w:r>
      <w:r>
        <w:t>.</w:t>
      </w:r>
    </w:p>
    <w:p w:rsidR="00696119" w:rsidRDefault="00696119" w:rsidP="00C92492">
      <w:r>
        <w:t>Le signal ci-contre représente une tension alternative Ve(t) évoluant de [-1V ; 1V] et une tension alternative Vs(t)</w:t>
      </w:r>
      <w:r w:rsidRPr="00696119">
        <w:t xml:space="preserve"> </w:t>
      </w:r>
      <w:r>
        <w:t>évoluant de [-2</w:t>
      </w:r>
      <w:r>
        <w:t>V ;</w:t>
      </w:r>
      <w:r>
        <w:t xml:space="preserve"> 2</w:t>
      </w:r>
      <w:r>
        <w:t>V]</w:t>
      </w:r>
      <w:r>
        <w:t>. La relation est donc :</w:t>
      </w:r>
    </w:p>
    <w:p w:rsidR="00696119" w:rsidRDefault="00696119" w:rsidP="00C92492">
      <m:oMathPara>
        <m:oMath>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r>
                <w:rPr>
                  <w:rFonts w:ascii="Cambria Math" w:hAnsi="Cambria Math"/>
                </w:rPr>
                <m:t>t</m:t>
              </m:r>
            </m:e>
          </m:d>
          <m:r>
            <w:rPr>
              <w:rFonts w:ascii="Cambria Math" w:hAnsi="Cambria Math"/>
            </w:rPr>
            <m:t>=2×</m:t>
          </m:r>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(t)</m:t>
          </m:r>
        </m:oMath>
      </m:oMathPara>
    </w:p>
    <w:p w:rsidR="00696119" w:rsidRDefault="00696119" w:rsidP="00C92492">
      <w:r>
        <w:t>La fonction de transfert correspondante est alors :</w:t>
      </w:r>
    </w:p>
    <w:p w:rsidR="00696119" w:rsidRPr="00696119" w:rsidRDefault="00696119" w:rsidP="00696119">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V</m:t>
                  </m:r>
                </m:e>
                <m:sub>
                  <m:r>
                    <w:rPr>
                      <w:rFonts w:ascii="Cambria Math" w:hAnsi="Cambria Math"/>
                    </w:rPr>
                    <m:t>e</m:t>
                  </m:r>
                </m:sub>
              </m:sSub>
              <m:d>
                <m:dPr>
                  <m:ctrlPr>
                    <w:rPr>
                      <w:rFonts w:ascii="Cambria Math" w:hAnsi="Cambria Math"/>
                      <w:i/>
                    </w:rPr>
                  </m:ctrlPr>
                </m:dPr>
                <m:e>
                  <m:r>
                    <w:rPr>
                      <w:rFonts w:ascii="Cambria Math" w:hAnsi="Cambria Math"/>
                    </w:rPr>
                    <m:t>t</m:t>
                  </m:r>
                </m:e>
              </m:d>
            </m:den>
          </m:f>
          <m:r>
            <w:rPr>
              <w:rFonts w:ascii="Cambria Math" w:hAnsi="Cambria Math"/>
            </w:rPr>
            <m:t>=2</m:t>
          </m:r>
        </m:oMath>
      </m:oMathPara>
    </w:p>
    <w:p w:rsidR="004719A5" w:rsidRDefault="004719A5" w:rsidP="004719A5">
      <w:pPr>
        <w:pStyle w:val="Paragraphedeliste"/>
      </w:pPr>
    </w:p>
    <w:p w:rsidR="004719A5" w:rsidRPr="004719A5" w:rsidRDefault="004719A5" w:rsidP="004719A5">
      <w:pPr>
        <w:jc w:val="center"/>
        <w:rPr>
          <w:rFonts w:ascii="Maiandra GD" w:hAnsi="Maiandra GD"/>
          <w:i/>
        </w:rPr>
      </w:pPr>
      <w:r w:rsidRPr="004719A5">
        <w:rPr>
          <w:rFonts w:ascii="Maiandra GD" w:hAnsi="Maiandra GD"/>
          <w:i/>
        </w:rPr>
        <w:t>- - - - - - - - - - - - - - - -</w:t>
      </w:r>
    </w:p>
    <w:p w:rsidR="00696119" w:rsidRDefault="00696119" w:rsidP="00696119">
      <w:r>
        <w:t xml:space="preserve">Atténuer un signal électrique correspond à la même chose que l’amplification d’un signal avec une spécificité. Le signal est multiplié par une constante, cette fois ci </w:t>
      </w:r>
      <w:r w:rsidRPr="00696119">
        <w:rPr>
          <w:b/>
        </w:rPr>
        <w:t>inférieure à 1</w:t>
      </w:r>
      <w:r>
        <w:t>.</w:t>
      </w:r>
    </w:p>
    <w:p w:rsidR="004719A5" w:rsidRDefault="004719A5" w:rsidP="004719A5">
      <w:r w:rsidRPr="00696119">
        <w:rPr>
          <w:noProof/>
        </w:rPr>
        <w:drawing>
          <wp:anchor distT="0" distB="0" distL="114300" distR="114300" simplePos="0" relativeHeight="251676160" behindDoc="0" locked="0" layoutInCell="1" allowOverlap="1">
            <wp:simplePos x="0" y="0"/>
            <wp:positionH relativeFrom="column">
              <wp:posOffset>-44402</wp:posOffset>
            </wp:positionH>
            <wp:positionV relativeFrom="paragraph">
              <wp:posOffset>7260</wp:posOffset>
            </wp:positionV>
            <wp:extent cx="2038350" cy="206121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8350" cy="2061210"/>
                    </a:xfrm>
                    <a:prstGeom prst="rect">
                      <a:avLst/>
                    </a:prstGeom>
                    <a:noFill/>
                    <a:ln>
                      <a:noFill/>
                    </a:ln>
                  </pic:spPr>
                </pic:pic>
              </a:graphicData>
            </a:graphic>
          </wp:anchor>
        </w:drawing>
      </w:r>
      <w:r>
        <w:t>Le signal ci-contre représente une tension alternative Ve(t) évoluant de [-1V ; 1V] et une tension alternative Vs(t)</w:t>
      </w:r>
      <w:r w:rsidRPr="00696119">
        <w:t xml:space="preserve"> </w:t>
      </w:r>
      <w:r>
        <w:t>évoluant de [-0.5</w:t>
      </w:r>
      <w:r>
        <w:t>V ;</w:t>
      </w:r>
      <w:r>
        <w:t xml:space="preserve"> 0.5</w:t>
      </w:r>
      <w:r>
        <w:t>V]. La relation est donc :</w:t>
      </w:r>
    </w:p>
    <w:p w:rsidR="004719A5" w:rsidRDefault="004719A5" w:rsidP="004719A5">
      <m:oMathPara>
        <m:oMath>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hAnsi="Cambria Math"/>
            </w:rPr>
            <m:t>0.5</m:t>
          </m:r>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e</m:t>
              </m:r>
            </m:sub>
          </m:sSub>
          <m:r>
            <w:rPr>
              <w:rFonts w:ascii="Cambria Math" w:hAnsi="Cambria Math"/>
            </w:rPr>
            <m:t>(t)</m:t>
          </m:r>
        </m:oMath>
      </m:oMathPara>
    </w:p>
    <w:p w:rsidR="004719A5" w:rsidRDefault="004719A5" w:rsidP="004719A5">
      <w:r>
        <w:t>La fonction de transfert correspondante est alors :</w:t>
      </w:r>
    </w:p>
    <w:p w:rsidR="004719A5" w:rsidRPr="00696119" w:rsidRDefault="004719A5" w:rsidP="004719A5">
      <w:pPr>
        <w:rPr>
          <w:rFonts w:eastAsiaTheme="minorEastAsia"/>
        </w:rPr>
      </w:pPr>
      <m:oMathPara>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V</m:t>
                  </m:r>
                </m:e>
                <m:sub>
                  <m:r>
                    <w:rPr>
                      <w:rFonts w:ascii="Cambria Math" w:hAnsi="Cambria Math"/>
                    </w:rPr>
                    <m:t>e</m:t>
                  </m:r>
                </m:sub>
              </m:sSub>
              <m:d>
                <m:dPr>
                  <m:ctrlPr>
                    <w:rPr>
                      <w:rFonts w:ascii="Cambria Math" w:hAnsi="Cambria Math"/>
                      <w:i/>
                    </w:rPr>
                  </m:ctrlPr>
                </m:dPr>
                <m:e>
                  <m:r>
                    <w:rPr>
                      <w:rFonts w:ascii="Cambria Math" w:hAnsi="Cambria Math"/>
                    </w:rPr>
                    <m:t>t</m:t>
                  </m:r>
                </m:e>
              </m:d>
            </m:den>
          </m:f>
          <m:r>
            <w:rPr>
              <w:rFonts w:ascii="Cambria Math" w:hAnsi="Cambria Math"/>
            </w:rPr>
            <m:t>=</m:t>
          </m:r>
          <m:r>
            <w:rPr>
              <w:rFonts w:ascii="Cambria Math" w:hAnsi="Cambria Math"/>
            </w:rPr>
            <m:t>0.5</m:t>
          </m:r>
        </m:oMath>
      </m:oMathPara>
    </w:p>
    <w:p w:rsidR="00696119" w:rsidRDefault="00696119" w:rsidP="00696119"/>
    <w:p w:rsidR="004719A5" w:rsidRDefault="004719A5" w:rsidP="004719A5">
      <w:pPr>
        <w:pStyle w:val="Titre1"/>
      </w:pPr>
      <w:r>
        <w:t>Addition et soustraction</w:t>
      </w:r>
    </w:p>
    <w:p w:rsidR="004719A5" w:rsidRDefault="004719A5" w:rsidP="004719A5">
      <w:r>
        <w:t>L’addition de deux signaux est très largement utilisée pour la communication par onde radio. Lorsque l’on allume la radio, on sélectionne une fréquence d’émission, et on entend ensuite le programme diffusé. Pourtant, la fréquence choisie ne change plus !</w:t>
      </w:r>
    </w:p>
    <w:p w:rsidR="004719A5" w:rsidRDefault="004719A5" w:rsidP="004719A5">
      <w:r>
        <w:t>On additionne, pour que cela fonctionne, la fréquence de la porteuse (90.0 MHz par exemple) avec celui de la voix enregistrée en studio (20 à 40 kHz). La fréquence choisie de la radio varie alors très légèrement, sans que l’on s’en aperçoive.</w:t>
      </w:r>
    </w:p>
    <w:p w:rsidR="004719A5" w:rsidRDefault="004719A5" w:rsidP="004719A5">
      <w:pPr>
        <w:pStyle w:val="Titre1"/>
      </w:pPr>
      <w:r>
        <w:lastRenderedPageBreak/>
        <w:t>Saturation et comparaison</w:t>
      </w:r>
    </w:p>
    <w:p w:rsidR="004719A5" w:rsidRDefault="00DD15A0" w:rsidP="004719A5">
      <w:r w:rsidRPr="00DD15A0">
        <w:rPr>
          <w:noProof/>
        </w:rPr>
        <w:drawing>
          <wp:anchor distT="0" distB="0" distL="114300" distR="114300" simplePos="0" relativeHeight="251680256" behindDoc="0" locked="0" layoutInCell="1" allowOverlap="1">
            <wp:simplePos x="0" y="0"/>
            <wp:positionH relativeFrom="column">
              <wp:posOffset>3796030</wp:posOffset>
            </wp:positionH>
            <wp:positionV relativeFrom="paragraph">
              <wp:posOffset>542925</wp:posOffset>
            </wp:positionV>
            <wp:extent cx="2507615" cy="195770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2507615" cy="1957705"/>
                    </a:xfrm>
                    <a:prstGeom prst="rect">
                      <a:avLst/>
                    </a:prstGeom>
                    <a:noFill/>
                    <a:ln>
                      <a:noFill/>
                    </a:ln>
                  </pic:spPr>
                </pic:pic>
              </a:graphicData>
            </a:graphic>
            <wp14:sizeRelH relativeFrom="margin">
              <wp14:pctWidth>0</wp14:pctWidth>
            </wp14:sizeRelH>
            <wp14:sizeRelV relativeFrom="margin">
              <wp14:pctHeight>0</wp14:pctHeight>
            </wp14:sizeRelV>
          </wp:anchor>
        </w:drawing>
      </w:r>
      <w:r>
        <w:t>La saturation consiste à limiter la valeur de sortie d’un signal analogique. On entend des fois des saturations dans les vidéos amateurs lorsque le son est trop fort par exemple. Ce phénomène apparait lorsque la tension demandée en sortie d’un amplificateur est supérieure à sa tension d’alimentation.</w:t>
      </w:r>
      <w:r w:rsidRPr="00DD15A0">
        <w:t xml:space="preserve"> </w:t>
      </w:r>
    </w:p>
    <w:p w:rsidR="00DD15A0" w:rsidRDefault="00DD15A0" w:rsidP="004719A5">
      <w:r>
        <w:t>Ici, l’amplificateur est alimenté par une tension [-5V, +5V]. Lorsqu’on lui demande de générer un signal supérieur à sa plage, il sature et bloque à sa valeur maximale.</w:t>
      </w:r>
    </w:p>
    <w:p w:rsidR="00DD15A0" w:rsidRDefault="00DD15A0" w:rsidP="004719A5"/>
    <w:p w:rsidR="00DD15A0" w:rsidRPr="004719A5" w:rsidRDefault="00DD15A0" w:rsidP="00DD15A0">
      <w:pPr>
        <w:jc w:val="center"/>
        <w:rPr>
          <w:rFonts w:ascii="Maiandra GD" w:hAnsi="Maiandra GD"/>
          <w:i/>
        </w:rPr>
      </w:pPr>
      <w:r w:rsidRPr="00DD15A0">
        <w:rPr>
          <w:noProof/>
        </w:rPr>
        <w:drawing>
          <wp:anchor distT="0" distB="0" distL="114300" distR="114300" simplePos="0" relativeHeight="251684352" behindDoc="1" locked="0" layoutInCell="1" allowOverlap="1">
            <wp:simplePos x="0" y="0"/>
            <wp:positionH relativeFrom="column">
              <wp:posOffset>-1905</wp:posOffset>
            </wp:positionH>
            <wp:positionV relativeFrom="paragraph">
              <wp:posOffset>283845</wp:posOffset>
            </wp:positionV>
            <wp:extent cx="2009775" cy="3087370"/>
            <wp:effectExtent l="0" t="0" r="0" b="0"/>
            <wp:wrapTight wrapText="bothSides">
              <wp:wrapPolygon edited="0">
                <wp:start x="0" y="0"/>
                <wp:lineTo x="0" y="21458"/>
                <wp:lineTo x="21498" y="21458"/>
                <wp:lineTo x="2149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2009775" cy="308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19A5">
        <w:rPr>
          <w:rFonts w:ascii="Maiandra GD" w:hAnsi="Maiandra GD"/>
          <w:i/>
        </w:rPr>
        <w:t>- - - - - - - - - - - - - - - -</w:t>
      </w:r>
    </w:p>
    <w:p w:rsidR="00EB2E8C" w:rsidRDefault="00EB2E8C" w:rsidP="004719A5"/>
    <w:p w:rsidR="00DD15A0" w:rsidRDefault="00DD15A0" w:rsidP="004719A5">
      <w:r>
        <w:t>La comparaison permet, à l’aide de la soustraction de deux signaux, d’obtenir un état logique de notre signal. Pour cela, on amplifie grandement notre signal (jusqu’à le faire saturer) et on compare les signaux.</w:t>
      </w:r>
    </w:p>
    <w:p w:rsidR="00DD15A0" w:rsidRDefault="00DD15A0" w:rsidP="004719A5">
      <w:r>
        <w:t xml:space="preserve">L’amplificateur ici peut délivrer une tension comprise entre [0.5V ; 5V]. En amplifiant grandement le signal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(t)</m:t>
        </m:r>
      </m:oMath>
      <w:r>
        <w:t>, on obtient les résultats suivants :</w:t>
      </w:r>
    </w:p>
    <w:p w:rsidR="00DD15A0" w:rsidRPr="00EB2E8C" w:rsidRDefault="00DD15A0" w:rsidP="00EB2E8C">
      <w:pPr>
        <w:pStyle w:val="Paragraphedeliste"/>
        <w:numPr>
          <w:ilvl w:val="0"/>
          <w:numId w:val="35"/>
        </w:numPr>
        <w:jc w:val="left"/>
        <w:rPr>
          <w:rFonts w:ascii="Arial" w:hAnsi="Arial" w:cs="Arial"/>
          <w:sz w:val="22"/>
        </w:rPr>
      </w:pPr>
      <w:r w:rsidRPr="00EB2E8C">
        <w:rPr>
          <w:rFonts w:ascii="Arial" w:hAnsi="Arial" w:cs="Arial"/>
          <w:sz w:val="22"/>
        </w:rPr>
        <w:t xml:space="preserve">Si </w:t>
      </w:r>
      <m:oMath>
        <m:sSub>
          <m:sSubPr>
            <m:ctrlPr>
              <w:rPr>
                <w:rFonts w:ascii="Cambria Math" w:hAnsi="Cambria Math" w:cs="Arial"/>
                <w:sz w:val="22"/>
              </w:rPr>
            </m:ctrlPr>
          </m:sSubPr>
          <m:e>
            <m:r>
              <w:rPr>
                <w:rFonts w:ascii="Cambria Math" w:hAnsi="Cambria Math" w:cs="Arial"/>
                <w:sz w:val="22"/>
              </w:rPr>
              <m:t>V</m:t>
            </m:r>
          </m:e>
          <m:sub>
            <m:r>
              <w:rPr>
                <w:rFonts w:ascii="Cambria Math" w:hAnsi="Cambria Math" w:cs="Arial"/>
                <w:sz w:val="22"/>
              </w:rPr>
              <m:t>1</m:t>
            </m:r>
          </m:sub>
        </m:sSub>
        <m:d>
          <m:dPr>
            <m:ctrlPr>
              <w:rPr>
                <w:rFonts w:ascii="Cambria Math" w:hAnsi="Cambria Math" w:cs="Arial"/>
                <w:sz w:val="22"/>
              </w:rPr>
            </m:ctrlPr>
          </m:dPr>
          <m:e>
            <m:r>
              <w:rPr>
                <w:rFonts w:ascii="Cambria Math" w:hAnsi="Cambria Math" w:cs="Arial"/>
                <w:sz w:val="22"/>
              </w:rPr>
              <m:t>t</m:t>
            </m:r>
          </m:e>
        </m:d>
        <m:r>
          <w:rPr>
            <w:rFonts w:ascii="Cambria Math" w:hAnsi="Cambria Math" w:cs="Arial"/>
            <w:sz w:val="22"/>
          </w:rPr>
          <m:t>&gt;</m:t>
        </m:r>
        <m:sSub>
          <m:sSubPr>
            <m:ctrlPr>
              <w:rPr>
                <w:rFonts w:ascii="Cambria Math" w:hAnsi="Cambria Math" w:cs="Arial"/>
                <w:sz w:val="22"/>
              </w:rPr>
            </m:ctrlPr>
          </m:sSubPr>
          <m:e>
            <m:r>
              <w:rPr>
                <w:rFonts w:ascii="Cambria Math" w:hAnsi="Cambria Math" w:cs="Arial"/>
                <w:sz w:val="22"/>
              </w:rPr>
              <m:t>V</m:t>
            </m:r>
          </m:e>
          <m:sub>
            <m:r>
              <w:rPr>
                <w:rFonts w:ascii="Cambria Math" w:hAnsi="Cambria Math" w:cs="Arial"/>
                <w:sz w:val="22"/>
              </w:rPr>
              <m:t>2</m:t>
            </m:r>
          </m:sub>
        </m:sSub>
        <m:d>
          <m:dPr>
            <m:ctrlPr>
              <w:rPr>
                <w:rFonts w:ascii="Cambria Math" w:hAnsi="Cambria Math" w:cs="Arial"/>
                <w:sz w:val="22"/>
              </w:rPr>
            </m:ctrlPr>
          </m:dPr>
          <m:e>
            <m:r>
              <w:rPr>
                <w:rFonts w:ascii="Cambria Math" w:hAnsi="Cambria Math" w:cs="Arial"/>
                <w:sz w:val="22"/>
              </w:rPr>
              <m:t>t</m:t>
            </m:r>
          </m:e>
        </m:d>
      </m:oMath>
      <w:r w:rsidRPr="00EB2E8C">
        <w:rPr>
          <w:rFonts w:ascii="Arial" w:eastAsiaTheme="minorEastAsia" w:hAnsi="Arial" w:cs="Arial"/>
          <w:sz w:val="22"/>
        </w:rPr>
        <w:t>,</w:t>
      </w:r>
      <w:r w:rsidRPr="00EB2E8C">
        <w:rPr>
          <w:rFonts w:ascii="Arial" w:hAnsi="Arial" w:cs="Arial"/>
          <w:sz w:val="22"/>
        </w:rPr>
        <w:t xml:space="preserve"> la tension de sortie est saturée à 5V.</w:t>
      </w:r>
    </w:p>
    <w:p w:rsidR="00DD15A0" w:rsidRPr="00EB2E8C" w:rsidRDefault="00DD15A0" w:rsidP="00EB2E8C">
      <w:pPr>
        <w:pStyle w:val="Paragraphedeliste"/>
        <w:numPr>
          <w:ilvl w:val="0"/>
          <w:numId w:val="35"/>
        </w:numPr>
        <w:jc w:val="left"/>
        <w:rPr>
          <w:rFonts w:ascii="Arial" w:hAnsi="Arial" w:cs="Arial"/>
          <w:sz w:val="22"/>
        </w:rPr>
      </w:pPr>
      <w:r w:rsidRPr="00EB2E8C">
        <w:rPr>
          <w:rFonts w:ascii="Arial" w:hAnsi="Arial" w:cs="Arial"/>
          <w:sz w:val="22"/>
        </w:rPr>
        <w:t xml:space="preserve">Si </w:t>
      </w:r>
      <m:oMath>
        <m:sSub>
          <m:sSubPr>
            <m:ctrlPr>
              <w:rPr>
                <w:rFonts w:ascii="Cambria Math" w:hAnsi="Cambria Math" w:cs="Arial"/>
                <w:sz w:val="22"/>
              </w:rPr>
            </m:ctrlPr>
          </m:sSubPr>
          <m:e>
            <m:r>
              <w:rPr>
                <w:rFonts w:ascii="Cambria Math" w:hAnsi="Cambria Math" w:cs="Arial"/>
                <w:sz w:val="22"/>
              </w:rPr>
              <m:t>V</m:t>
            </m:r>
          </m:e>
          <m:sub>
            <m:r>
              <w:rPr>
                <w:rFonts w:ascii="Cambria Math" w:hAnsi="Cambria Math" w:cs="Arial"/>
                <w:sz w:val="22"/>
              </w:rPr>
              <m:t>1</m:t>
            </m:r>
          </m:sub>
        </m:sSub>
        <m:d>
          <m:dPr>
            <m:ctrlPr>
              <w:rPr>
                <w:rFonts w:ascii="Cambria Math" w:hAnsi="Cambria Math" w:cs="Arial"/>
                <w:sz w:val="22"/>
              </w:rPr>
            </m:ctrlPr>
          </m:dPr>
          <m:e>
            <m:r>
              <w:rPr>
                <w:rFonts w:ascii="Cambria Math" w:hAnsi="Cambria Math" w:cs="Arial"/>
                <w:sz w:val="22"/>
              </w:rPr>
              <m:t>t</m:t>
            </m:r>
          </m:e>
        </m:d>
        <m:r>
          <w:rPr>
            <w:rFonts w:ascii="Cambria Math" w:hAnsi="Cambria Math" w:cs="Arial"/>
            <w:sz w:val="22"/>
          </w:rPr>
          <m:t>&lt;</m:t>
        </m:r>
        <m:sSub>
          <m:sSubPr>
            <m:ctrlPr>
              <w:rPr>
                <w:rFonts w:ascii="Cambria Math" w:hAnsi="Cambria Math" w:cs="Arial"/>
                <w:sz w:val="22"/>
              </w:rPr>
            </m:ctrlPr>
          </m:sSubPr>
          <m:e>
            <m:r>
              <w:rPr>
                <w:rFonts w:ascii="Cambria Math" w:hAnsi="Cambria Math" w:cs="Arial"/>
                <w:sz w:val="22"/>
              </w:rPr>
              <m:t>V</m:t>
            </m:r>
          </m:e>
          <m:sub>
            <m:r>
              <w:rPr>
                <w:rFonts w:ascii="Cambria Math" w:hAnsi="Cambria Math" w:cs="Arial"/>
                <w:sz w:val="22"/>
              </w:rPr>
              <m:t>2</m:t>
            </m:r>
          </m:sub>
        </m:sSub>
        <m:d>
          <m:dPr>
            <m:ctrlPr>
              <w:rPr>
                <w:rFonts w:ascii="Cambria Math" w:hAnsi="Cambria Math" w:cs="Arial"/>
                <w:sz w:val="22"/>
              </w:rPr>
            </m:ctrlPr>
          </m:dPr>
          <m:e>
            <m:r>
              <w:rPr>
                <w:rFonts w:ascii="Cambria Math" w:hAnsi="Cambria Math" w:cs="Arial"/>
                <w:sz w:val="22"/>
              </w:rPr>
              <m:t>t</m:t>
            </m:r>
          </m:e>
        </m:d>
      </m:oMath>
      <w:r w:rsidRPr="00EB2E8C">
        <w:rPr>
          <w:rFonts w:ascii="Arial" w:eastAsiaTheme="minorEastAsia" w:hAnsi="Arial" w:cs="Arial"/>
          <w:sz w:val="22"/>
        </w:rPr>
        <w:t>,</w:t>
      </w:r>
      <w:r w:rsidRPr="00EB2E8C">
        <w:rPr>
          <w:rFonts w:ascii="Arial" w:hAnsi="Arial" w:cs="Arial"/>
          <w:sz w:val="22"/>
        </w:rPr>
        <w:t xml:space="preserve"> la tension de sortie est saturée à 0,5V.</w:t>
      </w:r>
    </w:p>
    <w:p w:rsidR="00DD15A0" w:rsidRDefault="00DD15A0" w:rsidP="004719A5"/>
    <w:p w:rsidR="00EB2E8C" w:rsidRDefault="00EB2E8C">
      <w:pPr>
        <w:spacing w:before="0" w:after="0" w:line="240" w:lineRule="auto"/>
        <w:jc w:val="left"/>
        <w:rPr>
          <w:rFonts w:eastAsiaTheme="majorEastAsia" w:cstheme="majorBidi"/>
          <w:b/>
          <w:bCs/>
          <w:color w:val="0B5294" w:themeColor="accent1" w:themeShade="BF"/>
          <w:sz w:val="28"/>
          <w:szCs w:val="28"/>
          <w:highlight w:val="lightGray"/>
        </w:rPr>
      </w:pPr>
      <w:r>
        <w:rPr>
          <w:highlight w:val="lightGray"/>
        </w:rPr>
        <w:br w:type="page"/>
      </w:r>
    </w:p>
    <w:p w:rsidR="00DD15A0" w:rsidRDefault="00EB2E8C" w:rsidP="00EB2E8C">
      <w:pPr>
        <w:pStyle w:val="Titre1"/>
        <w:numPr>
          <w:ilvl w:val="0"/>
          <w:numId w:val="0"/>
        </w:numPr>
        <w:ind w:left="717"/>
      </w:pPr>
      <w:r>
        <w:lastRenderedPageBreak/>
        <w:t>Réalisation des fonctions</w:t>
      </w:r>
    </w:p>
    <w:p w:rsidR="00DD15A0" w:rsidRDefault="00EB2E8C" w:rsidP="004719A5">
      <w:r>
        <w:t>Pour adapter notre signal analogique, on s’appuie majoritairement sur deux composants :</w:t>
      </w:r>
    </w:p>
    <w:p w:rsidR="00EB2E8C" w:rsidRPr="00EB2E8C" w:rsidRDefault="00EB2E8C" w:rsidP="00EB2E8C">
      <w:pPr>
        <w:pStyle w:val="Paragraphedeliste"/>
        <w:numPr>
          <w:ilvl w:val="0"/>
          <w:numId w:val="36"/>
        </w:numPr>
        <w:jc w:val="left"/>
        <w:rPr>
          <w:rFonts w:ascii="Arial" w:hAnsi="Arial" w:cs="Arial"/>
          <w:i w:val="0"/>
        </w:rPr>
      </w:pPr>
      <w:r w:rsidRPr="00EB2E8C">
        <w:rPr>
          <w:rFonts w:ascii="Arial" w:hAnsi="Arial" w:cs="Arial"/>
          <w:i w:val="0"/>
        </w:rPr>
        <w:t>Le transistor</w:t>
      </w:r>
    </w:p>
    <w:p w:rsidR="00EB2E8C" w:rsidRDefault="00EB2E8C" w:rsidP="00EB2E8C">
      <w:pPr>
        <w:pStyle w:val="Paragraphedeliste"/>
        <w:numPr>
          <w:ilvl w:val="0"/>
          <w:numId w:val="36"/>
        </w:numPr>
        <w:jc w:val="left"/>
        <w:rPr>
          <w:rFonts w:ascii="Arial" w:hAnsi="Arial" w:cs="Arial"/>
          <w:i w:val="0"/>
        </w:rPr>
      </w:pPr>
      <w:r w:rsidRPr="00EB2E8C">
        <w:rPr>
          <w:rFonts w:ascii="Arial" w:hAnsi="Arial" w:cs="Arial"/>
          <w:i w:val="0"/>
        </w:rPr>
        <w:t>L’amplificateur opérationnel</w:t>
      </w:r>
    </w:p>
    <w:p w:rsidR="00EB2E8C" w:rsidRDefault="00EB2E8C" w:rsidP="00EB2E8C">
      <w:pPr>
        <w:pStyle w:val="Titre2"/>
      </w:pPr>
      <w:r>
        <w:t>Le transistor</w:t>
      </w:r>
    </w:p>
    <w:p w:rsidR="00EB2E8C" w:rsidRDefault="00EB2E8C" w:rsidP="00EB2E8C">
      <w:r>
        <w:t>Bien que de conception très ancienne aujourd’hui, le transistor est toujours utilisé pour la commutation.</w:t>
      </w:r>
    </w:p>
    <w:p w:rsidR="00EB2E8C" w:rsidRDefault="00EB2E8C" w:rsidP="00EB2E8C">
      <w:pPr>
        <w:jc w:val="center"/>
      </w:pPr>
      <w:r w:rsidRPr="00EB2E8C">
        <w:rPr>
          <w:noProof/>
        </w:rPr>
        <w:drawing>
          <wp:inline distT="0" distB="0" distL="0" distR="0">
            <wp:extent cx="5805577" cy="72908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
                      <a:extLst>
                        <a:ext uri="{28A0092B-C50C-407E-A947-70E740481C1C}">
                          <a14:useLocalDpi xmlns:a14="http://schemas.microsoft.com/office/drawing/2010/main" val="0"/>
                        </a:ext>
                      </a:extLst>
                    </a:blip>
                    <a:srcRect l="18047" t="14859" r="17901" b="4785"/>
                    <a:stretch/>
                  </pic:blipFill>
                  <pic:spPr bwMode="auto">
                    <a:xfrm>
                      <a:off x="0" y="0"/>
                      <a:ext cx="5815221" cy="7302951"/>
                    </a:xfrm>
                    <a:prstGeom prst="rect">
                      <a:avLst/>
                    </a:prstGeom>
                    <a:noFill/>
                    <a:ln>
                      <a:noFill/>
                    </a:ln>
                    <a:extLst>
                      <a:ext uri="{53640926-AAD7-44D8-BBD7-CCE9431645EC}">
                        <a14:shadowObscured xmlns:a14="http://schemas.microsoft.com/office/drawing/2010/main"/>
                      </a:ext>
                    </a:extLst>
                  </pic:spPr>
                </pic:pic>
              </a:graphicData>
            </a:graphic>
          </wp:inline>
        </w:drawing>
      </w:r>
    </w:p>
    <w:p w:rsidR="00EB2E8C" w:rsidRDefault="00EB2E8C" w:rsidP="00EB2E8C">
      <w:pPr>
        <w:jc w:val="left"/>
      </w:pPr>
      <w:r>
        <w:lastRenderedPageBreak/>
        <w:t>Dans le cas de la commutation, on associe le transistor à un interrupteur dont les caractéristiques sont les suivantes :</w:t>
      </w:r>
    </w:p>
    <w:p w:rsidR="00EB2E8C" w:rsidRDefault="00EB2E8C" w:rsidP="00EB2E8C">
      <w:pPr>
        <w:jc w:val="center"/>
      </w:pPr>
      <w:r w:rsidRPr="00EB2E8C">
        <w:rPr>
          <w:noProof/>
        </w:rPr>
        <w:drawing>
          <wp:inline distT="0" distB="0" distL="0" distR="0">
            <wp:extent cx="5633085" cy="40201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3085" cy="4020185"/>
                    </a:xfrm>
                    <a:prstGeom prst="rect">
                      <a:avLst/>
                    </a:prstGeom>
                    <a:noFill/>
                    <a:ln>
                      <a:noFill/>
                    </a:ln>
                  </pic:spPr>
                </pic:pic>
              </a:graphicData>
            </a:graphic>
          </wp:inline>
        </w:drawing>
      </w:r>
    </w:p>
    <w:p w:rsidR="00EB2E8C" w:rsidRDefault="00A929EF" w:rsidP="00A929EF">
      <w:pPr>
        <w:pStyle w:val="Titre2"/>
      </w:pPr>
      <w:r>
        <w:t>Application du transistor</w:t>
      </w:r>
    </w:p>
    <w:p w:rsidR="00A929EF" w:rsidRDefault="00A929EF" w:rsidP="00EB2E8C">
      <w:pPr>
        <w:jc w:val="left"/>
      </w:pPr>
      <w:r>
        <w:t>Une application courante vise à utiliser un transistor en amplificateur de courant. Supposons qu’il est nécessaire d’alimenter une LED avec un courant de 20mA sous une tension de 12V mais que la structure de commande délivre au maximum 5mA sous 5V.</w:t>
      </w:r>
    </w:p>
    <w:p w:rsidR="00A929EF" w:rsidRDefault="00A929EF" w:rsidP="00EB2E8C">
      <w:pPr>
        <w:jc w:val="left"/>
      </w:pPr>
      <w:r w:rsidRPr="00A929EF">
        <w:rPr>
          <w:noProof/>
        </w:rPr>
        <w:drawing>
          <wp:anchor distT="0" distB="0" distL="114300" distR="114300" simplePos="0" relativeHeight="251687424" behindDoc="0" locked="0" layoutInCell="1" allowOverlap="1">
            <wp:simplePos x="0" y="0"/>
            <wp:positionH relativeFrom="column">
              <wp:posOffset>3931512</wp:posOffset>
            </wp:positionH>
            <wp:positionV relativeFrom="paragraph">
              <wp:posOffset>92411</wp:posOffset>
            </wp:positionV>
            <wp:extent cx="2432685" cy="20701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685" cy="2070100"/>
                    </a:xfrm>
                    <a:prstGeom prst="rect">
                      <a:avLst/>
                    </a:prstGeom>
                    <a:noFill/>
                    <a:ln>
                      <a:noFill/>
                    </a:ln>
                  </pic:spPr>
                </pic:pic>
              </a:graphicData>
            </a:graphic>
          </wp:anchor>
        </w:drawing>
      </w:r>
      <w:r>
        <w:t>On réalise le montage ci-contre :</w:t>
      </w:r>
      <w:r w:rsidRPr="00A929EF">
        <w:t xml:space="preserve"> </w:t>
      </w:r>
    </w:p>
    <w:p w:rsidR="00A929EF" w:rsidRDefault="00A929EF" w:rsidP="00A929EF">
      <w:pPr>
        <w:pStyle w:val="Paragraphedeliste"/>
        <w:numPr>
          <w:ilvl w:val="0"/>
          <w:numId w:val="38"/>
        </w:numPr>
        <w:jc w:val="left"/>
      </w:pPr>
      <w:r>
        <w:t>La tension maximale aux bornes de la LED est égale à 1,5V (données constructeurs)</w:t>
      </w:r>
    </w:p>
    <w:p w:rsidR="00A929EF" w:rsidRDefault="00A929EF" w:rsidP="00A929EF">
      <w:pPr>
        <w:pStyle w:val="Paragraphedeliste"/>
        <w:numPr>
          <w:ilvl w:val="0"/>
          <w:numId w:val="38"/>
        </w:numPr>
        <w:jc w:val="left"/>
      </w:pPr>
      <w:r>
        <w:t>La résistance R2 provoque une chute de tension pour ne pas détruire la LED</w:t>
      </w:r>
    </w:p>
    <w:p w:rsidR="00A929EF" w:rsidRDefault="00A929EF" w:rsidP="00EB2E8C">
      <w:pPr>
        <w:jc w:val="left"/>
      </w:pPr>
      <w:r>
        <w:t>On calcul R2 lorsque la LED est éclairée, donc quand le transistor est passant comme un interrupteur fermé</w:t>
      </w:r>
    </w:p>
    <w:p w:rsidR="00A929EF" w:rsidRPr="00A929EF" w:rsidRDefault="00A929EF" w:rsidP="00A929EF">
      <w:pPr>
        <w:pStyle w:val="Paragraphedeliste"/>
        <w:numPr>
          <w:ilvl w:val="0"/>
          <w:numId w:val="39"/>
        </w:numPr>
        <w:jc w:val="left"/>
        <w:rPr>
          <w:rFonts w:ascii="Arial" w:eastAsiaTheme="minorEastAsia" w:hAnsi="Arial" w:cs="Times New Roman"/>
        </w:rPr>
      </w:pPr>
      <m:oMath>
        <m:r>
          <w:rPr>
            <w:rFonts w:ascii="Cambria Math" w:hAnsi="Cambria Math"/>
          </w:rPr>
          <m:t>12V=R2×</m:t>
        </m:r>
        <m:sSub>
          <m:sSubPr>
            <m:ctrlPr>
              <w:rPr>
                <w:rFonts w:ascii="Cambria Math" w:hAnsi="Cambria Math" w:cs="Times New Roman"/>
              </w:rPr>
            </m:ctrlPr>
          </m:sSubPr>
          <m:e>
            <m:r>
              <w:rPr>
                <w:rFonts w:ascii="Cambria Math" w:hAnsi="Cambria Math"/>
              </w:rPr>
              <m:t>I</m:t>
            </m:r>
          </m:e>
          <m:sub>
            <m:r>
              <w:rPr>
                <w:rFonts w:ascii="Cambria Math" w:hAnsi="Cambria Math"/>
              </w:rPr>
              <m:t>LED</m:t>
            </m:r>
          </m:sub>
        </m:sSub>
        <m:r>
          <w:rPr>
            <w:rFonts w:ascii="Cambria Math" w:hAnsi="Cambria Math"/>
          </w:rPr>
          <m:t>+</m:t>
        </m:r>
        <m:sSub>
          <m:sSubPr>
            <m:ctrlPr>
              <w:rPr>
                <w:rFonts w:ascii="Cambria Math" w:hAnsi="Cambria Math" w:cs="Times New Roman"/>
              </w:rPr>
            </m:ctrlPr>
          </m:sSubPr>
          <m:e>
            <m:r>
              <w:rPr>
                <w:rFonts w:ascii="Cambria Math" w:hAnsi="Cambria Math"/>
              </w:rPr>
              <m:t>V</m:t>
            </m:r>
          </m:e>
          <m:sub>
            <m:r>
              <w:rPr>
                <w:rFonts w:ascii="Cambria Math" w:hAnsi="Cambria Math"/>
              </w:rPr>
              <m:t>LED</m:t>
            </m:r>
          </m:sub>
        </m:sSub>
      </m:oMath>
    </w:p>
    <w:p w:rsidR="00A929EF" w:rsidRDefault="00A929EF" w:rsidP="00A929EF">
      <w:pPr>
        <w:pStyle w:val="Paragraphedeliste"/>
        <w:numPr>
          <w:ilvl w:val="0"/>
          <w:numId w:val="39"/>
        </w:numPr>
        <w:jc w:val="left"/>
        <w:rPr>
          <w:rFonts w:ascii="Arial" w:eastAsiaTheme="minorEastAsia" w:hAnsi="Arial" w:cs="Times New Roman"/>
        </w:rPr>
      </w:pPr>
      <m:oMath>
        <m:r>
          <w:rPr>
            <w:rFonts w:ascii="Cambria Math" w:eastAsiaTheme="minorEastAsia" w:hAnsi="Cambria Math"/>
          </w:rPr>
          <m:t>R2=</m:t>
        </m:r>
        <m:f>
          <m:fPr>
            <m:ctrlPr>
              <w:rPr>
                <w:rFonts w:ascii="Cambria Math" w:eastAsiaTheme="minorEastAsia" w:hAnsi="Cambria Math" w:cs="Times New Roman"/>
              </w:rPr>
            </m:ctrlPr>
          </m:fPr>
          <m:num>
            <m:r>
              <w:rPr>
                <w:rFonts w:ascii="Cambria Math" w:eastAsiaTheme="minorEastAsia" w:hAnsi="Cambria Math"/>
              </w:rPr>
              <m:t>12V-1,5V</m:t>
            </m:r>
          </m:num>
          <m:den>
            <m:r>
              <w:rPr>
                <w:rFonts w:ascii="Cambria Math" w:eastAsiaTheme="minorEastAsia" w:hAnsi="Cambria Math"/>
              </w:rPr>
              <m:t>20mA</m:t>
            </m:r>
          </m:den>
        </m:f>
        <m:r>
          <w:rPr>
            <w:rFonts w:ascii="Cambria Math" w:eastAsiaTheme="minorEastAsia" w:hAnsi="Cambria Math"/>
          </w:rPr>
          <m:t>=525</m:t>
        </m:r>
        <m:r>
          <w:rPr>
            <w:rFonts w:ascii="Cambria Math" w:eastAsiaTheme="minorEastAsia" w:hAnsi="Cambria Math"/>
          </w:rPr>
          <m:t>Ω</m:t>
        </m:r>
      </m:oMath>
    </w:p>
    <w:p w:rsidR="00A929EF" w:rsidRDefault="00A929EF" w:rsidP="00A929EF">
      <w:pPr>
        <w:rPr>
          <w:rFonts w:eastAsiaTheme="minorEastAsia"/>
        </w:rPr>
      </w:pPr>
      <w:r>
        <w:t xml:space="preserve">Le constructeur du transistor donne </w:t>
      </w:r>
      <m:oMath>
        <m:r>
          <w:rPr>
            <w:rFonts w:ascii="Cambria Math" w:hAnsi="Cambria Math"/>
          </w:rPr>
          <m:t>β=100</m:t>
        </m:r>
      </m:oMath>
      <w:r>
        <w:rPr>
          <w:rFonts w:eastAsiaTheme="minorEastAsia"/>
        </w:rPr>
        <w:t xml:space="preserve"> et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be</m:t>
            </m:r>
          </m:sub>
        </m:sSub>
        <m:r>
          <w:rPr>
            <w:rFonts w:ascii="Cambria Math" w:eastAsiaTheme="minorEastAsia" w:hAnsi="Cambria Math"/>
          </w:rPr>
          <m:t>=0.7V</m:t>
        </m:r>
      </m:oMath>
      <w:r>
        <w:rPr>
          <w:rFonts w:eastAsiaTheme="minorEastAsia"/>
        </w:rPr>
        <w:t>. Calculons alors le courant dans la base.</w:t>
      </w:r>
    </w:p>
    <w:p w:rsidR="00A929EF" w:rsidRPr="0041596A" w:rsidRDefault="00A929EF" w:rsidP="0041596A">
      <w:pPr>
        <w:pStyle w:val="Paragraphedeliste"/>
        <w:numPr>
          <w:ilvl w:val="0"/>
          <w:numId w:val="41"/>
        </w:numPr>
        <w:jc w:val="left"/>
        <w:rPr>
          <w:rFonts w:eastAsiaTheme="minorEastAsia"/>
        </w:rPr>
      </w:pPr>
      <m:oMath>
        <m:sSub>
          <m:sSubPr>
            <m:ctrlPr>
              <w:rPr>
                <w:rFonts w:ascii="Cambria Math" w:hAnsi="Cambria Math" w:cs="Times New Roman"/>
              </w:rPr>
            </m:ctrlPr>
          </m:sSubPr>
          <m:e>
            <m:r>
              <w:rPr>
                <w:rFonts w:ascii="Cambria Math" w:hAnsi="Cambria Math"/>
              </w:rPr>
              <m:t>I</m:t>
            </m:r>
          </m:e>
          <m:sub>
            <m:r>
              <w:rPr>
                <w:rFonts w:ascii="Cambria Math" w:hAnsi="Cambria Math"/>
              </w:rPr>
              <m:t>C</m:t>
            </m:r>
          </m:sub>
        </m:sSub>
        <m:r>
          <w:rPr>
            <w:rFonts w:ascii="Cambria Math" w:hAnsi="Cambria Math"/>
          </w:rPr>
          <m:t>=β×</m:t>
        </m:r>
        <m:sSub>
          <m:sSubPr>
            <m:ctrlPr>
              <w:rPr>
                <w:rFonts w:ascii="Cambria Math" w:hAnsi="Cambria Math" w:cs="Times New Roman"/>
              </w:rPr>
            </m:ctrlPr>
          </m:sSubPr>
          <m:e>
            <m:r>
              <w:rPr>
                <w:rFonts w:ascii="Cambria Math" w:hAnsi="Cambria Math"/>
              </w:rPr>
              <m:t>I</m:t>
            </m:r>
          </m:e>
          <m:sub>
            <m:r>
              <w:rPr>
                <w:rFonts w:ascii="Cambria Math" w:hAnsi="Cambria Math"/>
              </w:rPr>
              <m:t>b</m:t>
            </m:r>
          </m:sub>
        </m:sSub>
      </m:oMath>
    </w:p>
    <w:p w:rsidR="00A929EF" w:rsidRPr="0041596A" w:rsidRDefault="00A929EF" w:rsidP="0041596A">
      <w:pPr>
        <w:pStyle w:val="Paragraphedeliste"/>
        <w:numPr>
          <w:ilvl w:val="0"/>
          <w:numId w:val="41"/>
        </w:numPr>
        <w:jc w:val="left"/>
        <w:rPr>
          <w:rFonts w:eastAsiaTheme="minorEastAsia"/>
        </w:rPr>
      </w:pPr>
      <m:oMath>
        <m:sSub>
          <m:sSubPr>
            <m:ctrlPr>
              <w:rPr>
                <w:rFonts w:ascii="Cambria Math" w:hAnsi="Cambria Math" w:cs="Times New Roman"/>
              </w:rPr>
            </m:ctrlPr>
          </m:sSubPr>
          <m:e>
            <m:r>
              <w:rPr>
                <w:rFonts w:ascii="Cambria Math" w:hAnsi="Cambria Math"/>
              </w:rPr>
              <m:t>I</m:t>
            </m:r>
          </m:e>
          <m:sub>
            <m:r>
              <w:rPr>
                <w:rFonts w:ascii="Cambria Math" w:hAnsi="Cambria Math"/>
              </w:rPr>
              <m:t>b</m:t>
            </m:r>
          </m:sub>
        </m:sSub>
        <m:r>
          <w:rPr>
            <w:rFonts w:ascii="Cambria Math" w:hAnsi="Cambria Math"/>
          </w:rPr>
          <m:t>=</m:t>
        </m:r>
        <m:f>
          <m:fPr>
            <m:ctrlPr>
              <w:rPr>
                <w:rFonts w:ascii="Cambria Math" w:hAnsi="Cambria Math" w:cs="Times New Roman"/>
              </w:rPr>
            </m:ctrlPr>
          </m:fPr>
          <m:num>
            <m:r>
              <w:rPr>
                <w:rFonts w:ascii="Cambria Math" w:hAnsi="Cambria Math"/>
              </w:rPr>
              <m:t>20mA</m:t>
            </m:r>
          </m:num>
          <m:den>
            <m:r>
              <w:rPr>
                <w:rFonts w:ascii="Cambria Math" w:hAnsi="Cambria Math"/>
              </w:rPr>
              <m:t>100</m:t>
            </m:r>
          </m:den>
        </m:f>
        <m:r>
          <w:rPr>
            <w:rFonts w:ascii="Cambria Math" w:hAnsi="Cambria Math"/>
          </w:rPr>
          <m:t>=200μA</m:t>
        </m:r>
      </m:oMath>
    </w:p>
    <w:p w:rsidR="00A929EF" w:rsidRDefault="00A929EF" w:rsidP="00A929EF">
      <w:pPr>
        <w:rPr>
          <w:rFonts w:eastAsiaTheme="minorEastAsia"/>
        </w:rPr>
      </w:pPr>
      <w:r>
        <w:rPr>
          <w:rFonts w:eastAsiaTheme="minorEastAsia"/>
        </w:rPr>
        <w:t>Maintena</w:t>
      </w:r>
      <w:r w:rsidR="0041596A">
        <w:rPr>
          <w:rFonts w:eastAsiaTheme="minorEastAsia"/>
        </w:rPr>
        <w:t xml:space="preserve">nt, déterminons la résistance </w:t>
      </w:r>
      <m:oMath>
        <m:sSub>
          <m:sSubPr>
            <m:ctrlPr>
              <w:rPr>
                <w:rFonts w:ascii="Cambria Math" w:hAnsi="Cambria Math"/>
                <w:i/>
              </w:rPr>
            </m:ctrlPr>
          </m:sSubPr>
          <m:e>
            <m:r>
              <w:rPr>
                <w:rFonts w:ascii="Cambria Math" w:hAnsi="Cambria Math"/>
              </w:rPr>
              <m:t>R</m:t>
            </m:r>
          </m:e>
          <m:sub>
            <m:r>
              <w:rPr>
                <w:rFonts w:ascii="Cambria Math" w:hAnsi="Cambria Math"/>
              </w:rPr>
              <m:t>1</m:t>
            </m:r>
          </m:sub>
        </m:sSub>
      </m:oMath>
    </w:p>
    <w:p w:rsidR="0041596A" w:rsidRPr="0041596A" w:rsidRDefault="0041596A" w:rsidP="0041596A">
      <w:pPr>
        <w:pStyle w:val="Paragraphedeliste"/>
        <w:numPr>
          <w:ilvl w:val="0"/>
          <w:numId w:val="40"/>
        </w:numPr>
        <w:jc w:val="left"/>
        <w:rPr>
          <w:rFonts w:eastAsiaTheme="minorEastAsia"/>
        </w:rPr>
      </w:pPr>
      <m:oMath>
        <m:sSub>
          <m:sSubPr>
            <m:ctrlPr>
              <w:rPr>
                <w:rFonts w:ascii="Cambria Math" w:hAnsi="Cambria Math" w:cs="Times New Roman"/>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cs="Times New Roman"/>
              </w:rPr>
            </m:ctrlPr>
          </m:sSubPr>
          <m:e>
            <m:r>
              <w:rPr>
                <w:rFonts w:ascii="Cambria Math" w:hAnsi="Cambria Math"/>
              </w:rPr>
              <m:t>R</m:t>
            </m:r>
          </m:e>
          <m:sub>
            <m:r>
              <w:rPr>
                <w:rFonts w:ascii="Cambria Math" w:hAnsi="Cambria Math"/>
              </w:rPr>
              <m:t>1</m:t>
            </m:r>
          </m:sub>
        </m:sSub>
        <m:r>
          <w:rPr>
            <w:rFonts w:ascii="Cambria Math" w:eastAsiaTheme="minorEastAsia" w:hAnsi="Cambria Math"/>
          </w:rPr>
          <m:t>×</m:t>
        </m:r>
        <m:sSub>
          <m:sSubPr>
            <m:ctrlPr>
              <w:rPr>
                <w:rFonts w:ascii="Cambria Math" w:eastAsiaTheme="minorEastAsia" w:hAnsi="Cambria Math" w:cs="Times New Roman"/>
              </w:rPr>
            </m:ctrlPr>
          </m:sSubPr>
          <m:e>
            <m:r>
              <w:rPr>
                <w:rFonts w:ascii="Cambria Math" w:eastAsiaTheme="minorEastAsia" w:hAnsi="Cambria Math"/>
              </w:rPr>
              <m:t>I</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cs="Times New Roman"/>
              </w:rPr>
            </m:ctrlPr>
          </m:sSubPr>
          <m:e>
            <m:r>
              <w:rPr>
                <w:rFonts w:ascii="Cambria Math" w:eastAsiaTheme="minorEastAsia" w:hAnsi="Cambria Math"/>
              </w:rPr>
              <m:t>V</m:t>
            </m:r>
          </m:e>
          <m:sub>
            <m:r>
              <w:rPr>
                <w:rFonts w:ascii="Cambria Math" w:eastAsiaTheme="minorEastAsia" w:hAnsi="Cambria Math"/>
              </w:rPr>
              <m:t>be</m:t>
            </m:r>
          </m:sub>
        </m:sSub>
      </m:oMath>
    </w:p>
    <w:p w:rsidR="0041596A" w:rsidRPr="0041596A" w:rsidRDefault="0041596A" w:rsidP="0041596A">
      <w:pPr>
        <w:pStyle w:val="Paragraphedeliste"/>
        <w:numPr>
          <w:ilvl w:val="0"/>
          <w:numId w:val="40"/>
        </w:numPr>
        <w:jc w:val="left"/>
        <w:rPr>
          <w:rFonts w:eastAsiaTheme="minorEastAsia"/>
        </w:rPr>
      </w:pPr>
      <m:oMath>
        <m:sSub>
          <m:sSubPr>
            <m:ctrlPr>
              <w:rPr>
                <w:rFonts w:ascii="Cambria Math" w:hAnsi="Cambria Math" w:cs="Times New Roman"/>
              </w:rPr>
            </m:ctrlPr>
          </m:sSubPr>
          <m:e>
            <m:r>
              <w:rPr>
                <w:rFonts w:ascii="Cambria Math" w:hAnsi="Cambria Math"/>
              </w:rPr>
              <m:t>R</m:t>
            </m:r>
          </m:e>
          <m:sub>
            <m:r>
              <w:rPr>
                <w:rFonts w:ascii="Cambria Math" w:hAnsi="Cambria Math"/>
              </w:rPr>
              <m:t>1</m:t>
            </m:r>
          </m:sub>
        </m:sSub>
        <m:r>
          <w:rPr>
            <w:rFonts w:ascii="Cambria Math" w:hAnsi="Cambria Math"/>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rPr>
                  <m:t>V</m:t>
                </m:r>
              </m:e>
              <m:sub>
                <m:r>
                  <w:rPr>
                    <w:rFonts w:ascii="Cambria Math" w:hAnsi="Cambria Math"/>
                  </w:rPr>
                  <m:t>e</m:t>
                </m:r>
              </m:sub>
            </m:sSub>
            <m:r>
              <w:rPr>
                <w:rFonts w:ascii="Cambria Math" w:hAnsi="Cambria Math"/>
              </w:rPr>
              <m:t>-</m:t>
            </m:r>
            <m:sSub>
              <m:sSubPr>
                <m:ctrlPr>
                  <w:rPr>
                    <w:rFonts w:ascii="Cambria Math" w:hAnsi="Cambria Math" w:cs="Times New Roman"/>
                  </w:rPr>
                </m:ctrlPr>
              </m:sSubPr>
              <m:e>
                <m:r>
                  <w:rPr>
                    <w:rFonts w:ascii="Cambria Math" w:hAnsi="Cambria Math"/>
                  </w:rPr>
                  <m:t>V</m:t>
                </m:r>
              </m:e>
              <m:sub>
                <m:r>
                  <w:rPr>
                    <w:rFonts w:ascii="Cambria Math" w:hAnsi="Cambria Math"/>
                  </w:rPr>
                  <m:t>be</m:t>
                </m:r>
              </m:sub>
            </m:sSub>
          </m:num>
          <m:den>
            <m:sSub>
              <m:sSubPr>
                <m:ctrlPr>
                  <w:rPr>
                    <w:rFonts w:ascii="Cambria Math" w:hAnsi="Cambria Math" w:cs="Times New Roman"/>
                  </w:rPr>
                </m:ctrlPr>
              </m:sSubPr>
              <m:e>
                <m:r>
                  <w:rPr>
                    <w:rFonts w:ascii="Cambria Math" w:hAnsi="Cambria Math"/>
                  </w:rPr>
                  <m:t>I</m:t>
                </m:r>
              </m:e>
              <m:sub>
                <m:r>
                  <w:rPr>
                    <w:rFonts w:ascii="Cambria Math" w:hAnsi="Cambria Math"/>
                  </w:rPr>
                  <m:t>b</m:t>
                </m:r>
              </m:sub>
            </m:sSub>
          </m:den>
        </m:f>
        <m:r>
          <w:rPr>
            <w:rFonts w:ascii="Cambria Math" w:hAnsi="Cambria Math"/>
          </w:rPr>
          <m:t>=</m:t>
        </m:r>
        <m:f>
          <m:fPr>
            <m:ctrlPr>
              <w:rPr>
                <w:rFonts w:ascii="Cambria Math" w:hAnsi="Cambria Math" w:cs="Times New Roman"/>
              </w:rPr>
            </m:ctrlPr>
          </m:fPr>
          <m:num>
            <m:r>
              <w:rPr>
                <w:rFonts w:ascii="Cambria Math" w:hAnsi="Cambria Math"/>
              </w:rPr>
              <m:t>5-0.7</m:t>
            </m:r>
          </m:num>
          <m:den>
            <m:r>
              <w:rPr>
                <w:rFonts w:ascii="Cambria Math" w:hAnsi="Cambria Math"/>
              </w:rPr>
              <m:t>200μA</m:t>
            </m:r>
          </m:den>
        </m:f>
        <m:r>
          <w:rPr>
            <w:rFonts w:ascii="Cambria Math" w:hAnsi="Cambria Math"/>
          </w:rPr>
          <m:t>=21500 Ω</m:t>
        </m:r>
      </m:oMath>
    </w:p>
    <w:p w:rsidR="0041596A" w:rsidRDefault="0041596A" w:rsidP="00A929EF">
      <w:pPr>
        <w:rPr>
          <w:rFonts w:eastAsiaTheme="minorEastAsia" w:cs="Arial"/>
        </w:rPr>
      </w:pPr>
      <w:r>
        <w:rPr>
          <w:rFonts w:eastAsiaTheme="minorEastAsia"/>
        </w:rPr>
        <w:t>Pour garantir la saturation, on choisit une valeur au moins de fois inférieure à celle déterminée, soit 10 k</w:t>
      </w:r>
      <w:r>
        <w:rPr>
          <w:rFonts w:eastAsiaTheme="minorEastAsia" w:cs="Arial"/>
        </w:rPr>
        <w:t>Ω.</w:t>
      </w:r>
    </w:p>
    <w:p w:rsidR="0041596A" w:rsidRDefault="0041596A" w:rsidP="0041596A">
      <w:pPr>
        <w:pStyle w:val="Titre2"/>
        <w:rPr>
          <w:rFonts w:eastAsiaTheme="minorEastAsia"/>
        </w:rPr>
      </w:pPr>
      <w:r>
        <w:rPr>
          <w:rFonts w:eastAsiaTheme="minorEastAsia"/>
        </w:rPr>
        <w:t>Amplificateur opérationnel</w:t>
      </w:r>
    </w:p>
    <w:p w:rsidR="0041596A" w:rsidRDefault="0041596A" w:rsidP="0041596A">
      <w:r>
        <w:t>Un amplificateur opérationnel (AOP) est un composant que l’on retrouve généralement sur les circuits imprimés. Il possède deux caractéristiques intrinsèques :</w:t>
      </w:r>
    </w:p>
    <w:p w:rsidR="0041596A" w:rsidRPr="0041596A" w:rsidRDefault="0041596A" w:rsidP="0041596A">
      <w:pPr>
        <w:pStyle w:val="Paragraphedeliste"/>
        <w:numPr>
          <w:ilvl w:val="0"/>
          <w:numId w:val="43"/>
        </w:numPr>
        <w:jc w:val="left"/>
        <w:rPr>
          <w:rFonts w:ascii="Arial" w:hAnsi="Arial" w:cs="Arial"/>
          <w:i w:val="0"/>
        </w:rPr>
      </w:pPr>
      <w:r w:rsidRPr="0041596A">
        <w:rPr>
          <w:rFonts w:ascii="Arial" w:hAnsi="Arial" w:cs="Arial"/>
          <w:i w:val="0"/>
        </w:rPr>
        <w:t>Impédance d’entrée infinie (courants d’entrées nuls).</w:t>
      </w:r>
    </w:p>
    <w:p w:rsidR="0041596A" w:rsidRPr="0041596A" w:rsidRDefault="0041596A" w:rsidP="0041596A">
      <w:pPr>
        <w:pStyle w:val="Paragraphedeliste"/>
        <w:numPr>
          <w:ilvl w:val="0"/>
          <w:numId w:val="43"/>
        </w:numPr>
        <w:jc w:val="left"/>
        <w:rPr>
          <w:rFonts w:ascii="Arial" w:hAnsi="Arial" w:cs="Arial"/>
          <w:i w:val="0"/>
        </w:rPr>
      </w:pPr>
      <w:r>
        <w:rPr>
          <w:noProof/>
        </w:rPr>
        <w:drawing>
          <wp:anchor distT="0" distB="0" distL="114300" distR="114300" simplePos="0" relativeHeight="251689472" behindDoc="0" locked="0" layoutInCell="1" allowOverlap="1">
            <wp:simplePos x="0" y="0"/>
            <wp:positionH relativeFrom="column">
              <wp:posOffset>4854766</wp:posOffset>
            </wp:positionH>
            <wp:positionV relativeFrom="paragraph">
              <wp:posOffset>39837</wp:posOffset>
            </wp:positionV>
            <wp:extent cx="1405890" cy="1552575"/>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5890" cy="1552575"/>
                    </a:xfrm>
                    <a:prstGeom prst="rect">
                      <a:avLst/>
                    </a:prstGeom>
                    <a:noFill/>
                    <a:ln>
                      <a:noFill/>
                    </a:ln>
                  </pic:spPr>
                </pic:pic>
              </a:graphicData>
            </a:graphic>
          </wp:anchor>
        </w:drawing>
      </w:r>
      <w:r w:rsidRPr="0041596A">
        <w:rPr>
          <w:rFonts w:ascii="Arial" w:hAnsi="Arial" w:cs="Arial"/>
          <w:i w:val="0"/>
        </w:rPr>
        <w:t>Impédance de sortie nulle.</w:t>
      </w:r>
    </w:p>
    <w:p w:rsidR="0041596A" w:rsidRDefault="0041596A" w:rsidP="0041596A">
      <w:r>
        <w:t>Son alimentation se fait souvent par deux tensions symétriques (+V et -V).</w:t>
      </w:r>
    </w:p>
    <w:p w:rsidR="0041596A" w:rsidRDefault="0041596A" w:rsidP="0041596A">
      <w:pPr>
        <w:rPr>
          <w:rFonts w:eastAsiaTheme="minorEastAsia"/>
        </w:rPr>
      </w:pPr>
      <w:r>
        <w:t xml:space="preserve">On appel </w:t>
      </w:r>
      <m:oMath>
        <m:r>
          <w:rPr>
            <w:rFonts w:ascii="Cambria Math" w:hAnsi="Cambria Math"/>
          </w:rPr>
          <m:t>ε</m:t>
        </m:r>
      </m:oMath>
      <w:r>
        <w:rPr>
          <w:rFonts w:eastAsiaTheme="minorEastAsia"/>
        </w:rPr>
        <w:t xml:space="preserve"> la différence entre V+ et V-</w:t>
      </w:r>
      <w:r w:rsidR="00F95617">
        <w:rPr>
          <w:rFonts w:eastAsiaTheme="minorEastAsia"/>
        </w:rPr>
        <w:t xml:space="preserve">, alors </w:t>
      </w:r>
      <m:oMath>
        <m:r>
          <w:rPr>
            <w:rFonts w:ascii="Cambria Math" w:hAnsi="Cambria Math"/>
          </w:rPr>
          <m:t>ε</m:t>
        </m:r>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m:t>
            </m:r>
          </m:sup>
        </m:sSup>
      </m:oMath>
      <w:r w:rsidR="00F95617">
        <w:rPr>
          <w:rFonts w:eastAsiaTheme="minorEastAsia"/>
        </w:rPr>
        <w:t>.</w:t>
      </w:r>
    </w:p>
    <w:p w:rsidR="00F95617" w:rsidRDefault="00F95617" w:rsidP="0041596A">
      <w:pPr>
        <w:rPr>
          <w:rFonts w:eastAsiaTheme="minorEastAsia"/>
          <w:i/>
        </w:rPr>
      </w:pPr>
    </w:p>
    <w:p w:rsidR="00F95617" w:rsidRDefault="00F95617" w:rsidP="0041596A">
      <w:pPr>
        <w:rPr>
          <w:rFonts w:eastAsiaTheme="minorEastAsia"/>
          <w:i/>
        </w:rPr>
      </w:pPr>
    </w:p>
    <w:p w:rsidR="00F95617" w:rsidRPr="00F95617" w:rsidRDefault="00F95617" w:rsidP="00F95617">
      <w:pPr>
        <w:rPr>
          <w:i/>
        </w:rPr>
      </w:pPr>
      <w:r w:rsidRPr="00C92492">
        <w:rPr>
          <w:noProof/>
          <w:color w:val="FF0000"/>
        </w:rPr>
        <w:drawing>
          <wp:anchor distT="0" distB="0" distL="114300" distR="114300" simplePos="0" relativeHeight="251690496" behindDoc="1" locked="0" layoutInCell="1" allowOverlap="1" wp14:anchorId="2EE07EAC" wp14:editId="75684FB1">
            <wp:simplePos x="0" y="0"/>
            <wp:positionH relativeFrom="column">
              <wp:posOffset>15300</wp:posOffset>
            </wp:positionH>
            <wp:positionV relativeFrom="paragraph">
              <wp:posOffset>7824</wp:posOffset>
            </wp:positionV>
            <wp:extent cx="318770" cy="281940"/>
            <wp:effectExtent l="0" t="0" r="0" b="0"/>
            <wp:wrapTight wrapText="bothSides">
              <wp:wrapPolygon edited="0">
                <wp:start x="6454" y="0"/>
                <wp:lineTo x="0" y="16054"/>
                <wp:lineTo x="0" y="20432"/>
                <wp:lineTo x="20653" y="20432"/>
                <wp:lineTo x="20653" y="16054"/>
                <wp:lineTo x="14199" y="0"/>
                <wp:lineTo x="6454" y="0"/>
              </wp:wrapPolygon>
            </wp:wrapTight>
            <wp:docPr id="19" name="Image 19" descr="Résultat de recherche d'images pour &quot;panneau atten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anneau attention&quo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770" cy="281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5617">
        <w:rPr>
          <w:rFonts w:eastAsiaTheme="minorEastAsia"/>
          <w:i/>
        </w:rPr>
        <w:t xml:space="preserve"> </w:t>
      </w:r>
      <w:r w:rsidRPr="00F95617">
        <w:rPr>
          <w:rFonts w:eastAsiaTheme="minorEastAsia"/>
          <w:i/>
          <w:sz w:val="20"/>
        </w:rPr>
        <w:t>Les différents montages ainsi que les fonctions de transfert des montages seront abordés pendant un cours spécifique.</w:t>
      </w:r>
    </w:p>
    <w:p w:rsidR="00F95617" w:rsidRPr="00F95617" w:rsidRDefault="00F95617" w:rsidP="0041596A">
      <w:pPr>
        <w:rPr>
          <w:rFonts w:eastAsiaTheme="minorEastAsia"/>
          <w:color w:val="FF0000"/>
        </w:rPr>
      </w:pPr>
    </w:p>
    <w:sectPr w:rsidR="00F95617" w:rsidRPr="00F95617" w:rsidSect="0000035C">
      <w:headerReference w:type="default" r:id="rId19"/>
      <w:footerReference w:type="default" r:id="rId20"/>
      <w:pgSz w:w="11906" w:h="16838"/>
      <w:pgMar w:top="851" w:right="1021" w:bottom="851" w:left="1021" w:header="142" w:footer="1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5240" w:rsidRDefault="00275240" w:rsidP="00760FC3">
      <w:pPr>
        <w:spacing w:before="0" w:after="0"/>
      </w:pPr>
      <w:r>
        <w:separator/>
      </w:r>
    </w:p>
  </w:endnote>
  <w:endnote w:type="continuationSeparator" w:id="0">
    <w:p w:rsidR="00275240" w:rsidRDefault="00275240" w:rsidP="00760FC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FC3" w:rsidRPr="00760FC3" w:rsidRDefault="00760FC3" w:rsidP="00760FC3">
    <w:pPr>
      <w:pStyle w:val="Pieddepage"/>
      <w:pBdr>
        <w:top w:val="thinThickSmallGap" w:sz="24" w:space="1" w:color="004D6C" w:themeColor="accent2" w:themeShade="7F"/>
      </w:pBdr>
      <w:rPr>
        <w:rFonts w:asciiTheme="majorHAnsi" w:hAnsiTheme="majorHAnsi"/>
      </w:rPr>
    </w:pPr>
    <w:r>
      <w:rPr>
        <w:rFonts w:asciiTheme="majorHAnsi" w:hAnsiTheme="majorHAnsi"/>
      </w:rPr>
      <w:t>STI2D SIN</w:t>
    </w:r>
    <w:r>
      <w:rPr>
        <w:rFonts w:asciiTheme="majorHAnsi" w:hAnsiTheme="majorHAnsi"/>
      </w:rPr>
      <w:ptab w:relativeTo="margin" w:alignment="right" w:leader="none"/>
    </w:r>
    <w:r>
      <w:rPr>
        <w:rFonts w:asciiTheme="majorHAnsi" w:hAnsiTheme="majorHAnsi"/>
      </w:rPr>
      <w:t xml:space="preserve">Page </w:t>
    </w:r>
    <w:r w:rsidR="00A81285">
      <w:fldChar w:fldCharType="begin"/>
    </w:r>
    <w:r w:rsidR="00A81285">
      <w:instrText xml:space="preserve"> PAGE   \* MERGEFORMAT </w:instrText>
    </w:r>
    <w:r w:rsidR="00A81285">
      <w:fldChar w:fldCharType="separate"/>
    </w:r>
    <w:r w:rsidR="00362E0E" w:rsidRPr="00362E0E">
      <w:rPr>
        <w:rFonts w:asciiTheme="majorHAnsi" w:hAnsiTheme="majorHAnsi"/>
        <w:noProof/>
      </w:rPr>
      <w:t>2</w:t>
    </w:r>
    <w:r w:rsidR="00A81285">
      <w:rPr>
        <w:rFonts w:asciiTheme="majorHAnsi" w:hAnsiTheme="majorHAns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5240" w:rsidRDefault="00275240" w:rsidP="00760FC3">
      <w:pPr>
        <w:spacing w:before="0" w:after="0"/>
      </w:pPr>
      <w:r>
        <w:separator/>
      </w:r>
    </w:p>
  </w:footnote>
  <w:footnote w:type="continuationSeparator" w:id="0">
    <w:p w:rsidR="00275240" w:rsidRDefault="00275240" w:rsidP="00760FC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0FC3" w:rsidRPr="00760FC3" w:rsidRDefault="00275240" w:rsidP="00760FC3">
    <w:pPr>
      <w:pStyle w:val="En-tte"/>
      <w:pBdr>
        <w:bottom w:val="thickThinSmallGap" w:sz="24" w:space="1" w:color="004D6C"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re"/>
        <w:id w:val="77738743"/>
        <w:placeholder>
          <w:docPart w:val="BA3B586B23B64512BC6716620F8C52D4"/>
        </w:placeholder>
        <w:dataBinding w:prefixMappings="xmlns:ns0='http://schemas.openxmlformats.org/package/2006/metadata/core-properties' xmlns:ns1='http://purl.org/dc/elements/1.1/'" w:xpath="/ns0:coreProperties[1]/ns1:title[1]" w:storeItemID="{6C3C8BC8-F283-45AE-878A-BAB7291924A1}"/>
        <w:text/>
      </w:sdtPr>
      <w:sdtEndPr/>
      <w:sdtContent>
        <w:r w:rsidR="00412FC1">
          <w:rPr>
            <w:rFonts w:asciiTheme="majorHAnsi" w:eastAsiaTheme="majorEastAsia" w:hAnsiTheme="majorHAnsi" w:cstheme="majorBidi"/>
            <w:sz w:val="32"/>
            <w:szCs w:val="32"/>
          </w:rPr>
          <w:t>Traitement d’une information analogique</w:t>
        </w:r>
      </w:sdtContent>
    </w:sdt>
    <w:r w:rsidR="00F95617">
      <w:rPr>
        <w:rFonts w:asciiTheme="majorHAnsi" w:eastAsiaTheme="majorEastAsia" w:hAnsiTheme="majorHAnsi" w:cstheme="majorBidi"/>
        <w:sz w:val="32"/>
        <w:szCs w:val="32"/>
      </w:rPr>
      <w:t xml:space="preserve"> – Fonctions élémentaires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92C4564"/>
    <w:lvl w:ilvl="0">
      <w:start w:val="1"/>
      <w:numFmt w:val="decimal"/>
      <w:pStyle w:val="Listenumros"/>
      <w:lvlText w:val="%1."/>
      <w:lvlJc w:val="left"/>
      <w:pPr>
        <w:tabs>
          <w:tab w:val="num" w:pos="360"/>
        </w:tabs>
        <w:ind w:left="360" w:hanging="360"/>
      </w:pPr>
    </w:lvl>
  </w:abstractNum>
  <w:abstractNum w:abstractNumId="1" w15:restartNumberingAfterBreak="0">
    <w:nsid w:val="00000002"/>
    <w:multiLevelType w:val="multilevel"/>
    <w:tmpl w:val="A906CA74"/>
    <w:lvl w:ilvl="0">
      <w:start w:val="1"/>
      <w:numFmt w:val="bullet"/>
      <w:pStyle w:val="Ressources"/>
      <w:lvlText w:val=""/>
      <w:lvlJc w:val="left"/>
      <w:pPr>
        <w:tabs>
          <w:tab w:val="num" w:pos="283"/>
        </w:tabs>
        <w:ind w:left="283" w:hanging="283"/>
      </w:pPr>
      <w:rPr>
        <w:rFonts w:ascii="Wingdings" w:hAnsi="Wingdings" w:cs="StarSymbol"/>
        <w:sz w:val="18"/>
        <w:szCs w:val="18"/>
      </w:rPr>
    </w:lvl>
    <w:lvl w:ilvl="1">
      <w:start w:val="1"/>
      <w:numFmt w:val="bullet"/>
      <w:lvlText w:val=""/>
      <w:lvlJc w:val="left"/>
      <w:pPr>
        <w:tabs>
          <w:tab w:val="num" w:pos="567"/>
        </w:tabs>
        <w:ind w:left="567" w:hanging="283"/>
      </w:pPr>
      <w:rPr>
        <w:rFonts w:ascii="Wingdings" w:hAnsi="Wingdings" w:cs="StarSymbol"/>
        <w:sz w:val="18"/>
        <w:szCs w:val="18"/>
      </w:rPr>
    </w:lvl>
    <w:lvl w:ilvl="2">
      <w:start w:val="1"/>
      <w:numFmt w:val="bullet"/>
      <w:lvlText w:val=""/>
      <w:lvlJc w:val="left"/>
      <w:pPr>
        <w:tabs>
          <w:tab w:val="num" w:pos="850"/>
        </w:tabs>
        <w:ind w:left="850" w:hanging="283"/>
      </w:pPr>
      <w:rPr>
        <w:rFonts w:ascii="Wingdings" w:hAnsi="Wingdings" w:cs="StarSymbol"/>
        <w:sz w:val="18"/>
        <w:szCs w:val="18"/>
      </w:rPr>
    </w:lvl>
    <w:lvl w:ilvl="3">
      <w:start w:val="1"/>
      <w:numFmt w:val="bullet"/>
      <w:lvlText w:val=""/>
      <w:lvlJc w:val="left"/>
      <w:pPr>
        <w:tabs>
          <w:tab w:val="num" w:pos="1134"/>
        </w:tabs>
        <w:ind w:left="1134" w:hanging="283"/>
      </w:pPr>
      <w:rPr>
        <w:rFonts w:ascii="Wingdings" w:hAnsi="Wingdings" w:cs="StarSymbol"/>
        <w:sz w:val="18"/>
        <w:szCs w:val="18"/>
      </w:rPr>
    </w:lvl>
    <w:lvl w:ilvl="4">
      <w:start w:val="1"/>
      <w:numFmt w:val="bullet"/>
      <w:lvlText w:val=""/>
      <w:lvlJc w:val="left"/>
      <w:pPr>
        <w:tabs>
          <w:tab w:val="num" w:pos="1417"/>
        </w:tabs>
        <w:ind w:left="1417" w:hanging="283"/>
      </w:pPr>
      <w:rPr>
        <w:rFonts w:ascii="Wingdings" w:hAnsi="Wingdings" w:cs="StarSymbol"/>
        <w:sz w:val="18"/>
        <w:szCs w:val="18"/>
      </w:rPr>
    </w:lvl>
    <w:lvl w:ilvl="5">
      <w:start w:val="1"/>
      <w:numFmt w:val="bullet"/>
      <w:lvlText w:val=""/>
      <w:lvlJc w:val="left"/>
      <w:pPr>
        <w:tabs>
          <w:tab w:val="num" w:pos="1701"/>
        </w:tabs>
        <w:ind w:left="1701" w:hanging="283"/>
      </w:pPr>
      <w:rPr>
        <w:rFonts w:ascii="Wingdings" w:hAnsi="Wingdings" w:cs="StarSymbol"/>
        <w:sz w:val="18"/>
        <w:szCs w:val="18"/>
      </w:rPr>
    </w:lvl>
    <w:lvl w:ilvl="6">
      <w:start w:val="1"/>
      <w:numFmt w:val="bullet"/>
      <w:lvlText w:val=""/>
      <w:lvlJc w:val="left"/>
      <w:pPr>
        <w:tabs>
          <w:tab w:val="num" w:pos="1984"/>
        </w:tabs>
        <w:ind w:left="1984" w:hanging="283"/>
      </w:pPr>
      <w:rPr>
        <w:rFonts w:ascii="Wingdings" w:hAnsi="Wingdings" w:cs="StarSymbol"/>
        <w:sz w:val="18"/>
        <w:szCs w:val="18"/>
      </w:rPr>
    </w:lvl>
    <w:lvl w:ilvl="7">
      <w:start w:val="1"/>
      <w:numFmt w:val="bullet"/>
      <w:lvlText w:val=""/>
      <w:lvlJc w:val="left"/>
      <w:pPr>
        <w:tabs>
          <w:tab w:val="num" w:pos="2268"/>
        </w:tabs>
        <w:ind w:left="2268" w:hanging="283"/>
      </w:pPr>
      <w:rPr>
        <w:rFonts w:ascii="Wingdings" w:hAnsi="Wingdings" w:cs="StarSymbol"/>
        <w:sz w:val="18"/>
        <w:szCs w:val="18"/>
      </w:rPr>
    </w:lvl>
    <w:lvl w:ilvl="8">
      <w:start w:val="1"/>
      <w:numFmt w:val="bullet"/>
      <w:lvlText w:val=""/>
      <w:lvlJc w:val="left"/>
      <w:pPr>
        <w:tabs>
          <w:tab w:val="num" w:pos="2551"/>
        </w:tabs>
        <w:ind w:left="2551" w:hanging="283"/>
      </w:pPr>
      <w:rPr>
        <w:rFonts w:ascii="Wingdings" w:hAnsi="Wingdings" w:cs="StarSymbol"/>
        <w:sz w:val="18"/>
        <w:szCs w:val="18"/>
      </w:rPr>
    </w:lvl>
  </w:abstractNum>
  <w:abstractNum w:abstractNumId="2" w15:restartNumberingAfterBreak="0">
    <w:nsid w:val="022B6668"/>
    <w:multiLevelType w:val="hybridMultilevel"/>
    <w:tmpl w:val="F6D264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0A3D3A"/>
    <w:multiLevelType w:val="hybridMultilevel"/>
    <w:tmpl w:val="59522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E1635E"/>
    <w:multiLevelType w:val="hybridMultilevel"/>
    <w:tmpl w:val="CAD60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EC3096"/>
    <w:multiLevelType w:val="hybridMultilevel"/>
    <w:tmpl w:val="3564B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220A6E"/>
    <w:multiLevelType w:val="hybridMultilevel"/>
    <w:tmpl w:val="C3AE7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0928E1"/>
    <w:multiLevelType w:val="hybridMultilevel"/>
    <w:tmpl w:val="86B6578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B2465F6"/>
    <w:multiLevelType w:val="hybridMultilevel"/>
    <w:tmpl w:val="FB941FB0"/>
    <w:lvl w:ilvl="0" w:tplc="F1A0082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6719ED"/>
    <w:multiLevelType w:val="hybridMultilevel"/>
    <w:tmpl w:val="17068F7E"/>
    <w:lvl w:ilvl="0" w:tplc="C2001EFC">
      <w:numFmt w:val="bullet"/>
      <w:lvlText w:val="-"/>
      <w:lvlJc w:val="left"/>
      <w:pPr>
        <w:ind w:left="1125" w:hanging="360"/>
      </w:pPr>
      <w:rPr>
        <w:rFonts w:ascii="Adobe Devanagari" w:eastAsiaTheme="minorHAnsi" w:hAnsi="Adobe Devanagari" w:cs="Adobe Devanagari"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10" w15:restartNumberingAfterBreak="0">
    <w:nsid w:val="2C655F10"/>
    <w:multiLevelType w:val="multilevel"/>
    <w:tmpl w:val="9C308D2C"/>
    <w:lvl w:ilvl="0">
      <w:start w:val="1"/>
      <w:numFmt w:val="upperRoman"/>
      <w:pStyle w:val="Titre"/>
      <w:lvlText w:val="PARTIE %1."/>
      <w:lvlJc w:val="left"/>
      <w:pPr>
        <w:ind w:left="360" w:hanging="360"/>
      </w:pPr>
      <w:rPr>
        <w:rFonts w:hint="default"/>
      </w:rPr>
    </w:lvl>
    <w:lvl w:ilvl="1">
      <w:start w:val="1"/>
      <w:numFmt w:val="upperRoman"/>
      <w:lvlText w:val="%2. "/>
      <w:lvlJc w:val="left"/>
      <w:pPr>
        <w:ind w:left="720" w:hanging="360"/>
      </w:pPr>
      <w:rPr>
        <w:rFonts w:hint="default"/>
      </w:rPr>
    </w:lvl>
    <w:lvl w:ilvl="2">
      <w:start w:val="1"/>
      <w:numFmt w:val="decimal"/>
      <w:lvlText w:val="%2. %3."/>
      <w:lvlJc w:val="left"/>
      <w:pPr>
        <w:ind w:left="1080" w:hanging="360"/>
      </w:pPr>
      <w:rPr>
        <w:rFonts w:hint="default"/>
      </w:rPr>
    </w:lvl>
    <w:lvl w:ilvl="3">
      <w:start w:val="1"/>
      <w:numFmt w:val="lowerLetter"/>
      <w:pStyle w:val="Titre3"/>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E4009B2"/>
    <w:multiLevelType w:val="hybridMultilevel"/>
    <w:tmpl w:val="D3481768"/>
    <w:lvl w:ilvl="0" w:tplc="6CBCCEA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2E06C67"/>
    <w:multiLevelType w:val="hybridMultilevel"/>
    <w:tmpl w:val="D18EF084"/>
    <w:lvl w:ilvl="0" w:tplc="2F043910">
      <w:start w:val="1"/>
      <w:numFmt w:val="decimal"/>
      <w:pStyle w:val="Titre2"/>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3A7145CF"/>
    <w:multiLevelType w:val="hybridMultilevel"/>
    <w:tmpl w:val="AA54C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3A3096"/>
    <w:multiLevelType w:val="hybridMultilevel"/>
    <w:tmpl w:val="79E264A8"/>
    <w:lvl w:ilvl="0" w:tplc="207A30FA">
      <w:start w:val="1"/>
      <w:numFmt w:val="bullet"/>
      <w:pStyle w:val="Puce"/>
      <w:lvlText w:val=""/>
      <w:lvlJc w:val="left"/>
      <w:pPr>
        <w:ind w:left="1077" w:hanging="360"/>
      </w:pPr>
      <w:rPr>
        <w:rFonts w:ascii="Symbol" w:hAnsi="Symbol" w:hint="default"/>
        <w:b/>
        <w:bCs w:val="0"/>
        <w:i w:val="0"/>
        <w:iCs w:val="0"/>
        <w:caps w:val="0"/>
        <w:smallCaps w:val="0"/>
        <w:strike w:val="0"/>
        <w:dstrike w:val="0"/>
        <w:noProof w:val="0"/>
        <w:vanish w:val="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5" w15:restartNumberingAfterBreak="0">
    <w:nsid w:val="60E902D1"/>
    <w:multiLevelType w:val="hybridMultilevel"/>
    <w:tmpl w:val="73341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2233AB"/>
    <w:multiLevelType w:val="hybridMultilevel"/>
    <w:tmpl w:val="C6AAE248"/>
    <w:lvl w:ilvl="0" w:tplc="EC7CF07E">
      <w:start w:val="1"/>
      <w:numFmt w:val="upperRoman"/>
      <w:pStyle w:val="Titre1"/>
      <w:lvlText w:val="%1."/>
      <w:lvlJc w:val="left"/>
      <w:pPr>
        <w:ind w:left="1077" w:hanging="360"/>
      </w:pPr>
      <w:rPr>
        <w:rFonts w:hint="default"/>
      </w:rPr>
    </w:lvl>
    <w:lvl w:ilvl="1" w:tplc="040C0019" w:tentative="1">
      <w:start w:val="1"/>
      <w:numFmt w:val="lowerLetter"/>
      <w:lvlText w:val="%2."/>
      <w:lvlJc w:val="left"/>
      <w:pPr>
        <w:ind w:left="1797" w:hanging="360"/>
      </w:pPr>
    </w:lvl>
    <w:lvl w:ilvl="2" w:tplc="040C001B" w:tentative="1">
      <w:start w:val="1"/>
      <w:numFmt w:val="lowerRoman"/>
      <w:lvlText w:val="%3."/>
      <w:lvlJc w:val="right"/>
      <w:pPr>
        <w:ind w:left="2517" w:hanging="180"/>
      </w:pPr>
    </w:lvl>
    <w:lvl w:ilvl="3" w:tplc="040C000F" w:tentative="1">
      <w:start w:val="1"/>
      <w:numFmt w:val="decimal"/>
      <w:lvlText w:val="%4."/>
      <w:lvlJc w:val="left"/>
      <w:pPr>
        <w:ind w:left="3237" w:hanging="360"/>
      </w:pPr>
    </w:lvl>
    <w:lvl w:ilvl="4" w:tplc="040C0019" w:tentative="1">
      <w:start w:val="1"/>
      <w:numFmt w:val="lowerLetter"/>
      <w:lvlText w:val="%5."/>
      <w:lvlJc w:val="left"/>
      <w:pPr>
        <w:ind w:left="3957" w:hanging="360"/>
      </w:pPr>
    </w:lvl>
    <w:lvl w:ilvl="5" w:tplc="040C001B" w:tentative="1">
      <w:start w:val="1"/>
      <w:numFmt w:val="lowerRoman"/>
      <w:lvlText w:val="%6."/>
      <w:lvlJc w:val="right"/>
      <w:pPr>
        <w:ind w:left="4677" w:hanging="180"/>
      </w:pPr>
    </w:lvl>
    <w:lvl w:ilvl="6" w:tplc="040C000F" w:tentative="1">
      <w:start w:val="1"/>
      <w:numFmt w:val="decimal"/>
      <w:lvlText w:val="%7."/>
      <w:lvlJc w:val="left"/>
      <w:pPr>
        <w:ind w:left="5397" w:hanging="360"/>
      </w:pPr>
    </w:lvl>
    <w:lvl w:ilvl="7" w:tplc="040C0019" w:tentative="1">
      <w:start w:val="1"/>
      <w:numFmt w:val="lowerLetter"/>
      <w:lvlText w:val="%8."/>
      <w:lvlJc w:val="left"/>
      <w:pPr>
        <w:ind w:left="6117" w:hanging="360"/>
      </w:pPr>
    </w:lvl>
    <w:lvl w:ilvl="8" w:tplc="040C001B" w:tentative="1">
      <w:start w:val="1"/>
      <w:numFmt w:val="lowerRoman"/>
      <w:lvlText w:val="%9."/>
      <w:lvlJc w:val="right"/>
      <w:pPr>
        <w:ind w:left="6837" w:hanging="180"/>
      </w:pPr>
    </w:lvl>
  </w:abstractNum>
  <w:abstractNum w:abstractNumId="17" w15:restartNumberingAfterBreak="0">
    <w:nsid w:val="69930692"/>
    <w:multiLevelType w:val="hybridMultilevel"/>
    <w:tmpl w:val="75E8D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0"/>
  </w:num>
  <w:num w:numId="12">
    <w:abstractNumId w:val="10"/>
  </w:num>
  <w:num w:numId="13">
    <w:abstractNumId w:val="10"/>
  </w:num>
  <w:num w:numId="14">
    <w:abstractNumId w:val="10"/>
  </w:num>
  <w:num w:numId="15">
    <w:abstractNumId w:val="10"/>
  </w:num>
  <w:num w:numId="16">
    <w:abstractNumId w:val="0"/>
  </w:num>
  <w:num w:numId="17">
    <w:abstractNumId w:val="0"/>
  </w:num>
  <w:num w:numId="18">
    <w:abstractNumId w:val="10"/>
  </w:num>
  <w:num w:numId="19">
    <w:abstractNumId w:val="11"/>
  </w:num>
  <w:num w:numId="20">
    <w:abstractNumId w:val="11"/>
  </w:num>
  <w:num w:numId="21">
    <w:abstractNumId w:val="14"/>
  </w:num>
  <w:num w:numId="22">
    <w:abstractNumId w:val="1"/>
  </w:num>
  <w:num w:numId="23">
    <w:abstractNumId w:val="7"/>
  </w:num>
  <w:num w:numId="24">
    <w:abstractNumId w:val="10"/>
  </w:num>
  <w:num w:numId="25">
    <w:abstractNumId w:val="0"/>
  </w:num>
  <w:num w:numId="26">
    <w:abstractNumId w:val="11"/>
  </w:num>
  <w:num w:numId="27">
    <w:abstractNumId w:val="14"/>
  </w:num>
  <w:num w:numId="28">
    <w:abstractNumId w:val="1"/>
  </w:num>
  <w:num w:numId="29">
    <w:abstractNumId w:val="10"/>
  </w:num>
  <w:num w:numId="30">
    <w:abstractNumId w:val="10"/>
  </w:num>
  <w:num w:numId="31">
    <w:abstractNumId w:val="10"/>
  </w:num>
  <w:num w:numId="32">
    <w:abstractNumId w:val="16"/>
  </w:num>
  <w:num w:numId="33">
    <w:abstractNumId w:val="8"/>
  </w:num>
  <w:num w:numId="34">
    <w:abstractNumId w:val="9"/>
  </w:num>
  <w:num w:numId="35">
    <w:abstractNumId w:val="6"/>
  </w:num>
  <w:num w:numId="36">
    <w:abstractNumId w:val="13"/>
  </w:num>
  <w:num w:numId="37">
    <w:abstractNumId w:val="12"/>
  </w:num>
  <w:num w:numId="38">
    <w:abstractNumId w:val="17"/>
  </w:num>
  <w:num w:numId="39">
    <w:abstractNumId w:val="3"/>
  </w:num>
  <w:num w:numId="40">
    <w:abstractNumId w:val="15"/>
  </w:num>
  <w:num w:numId="41">
    <w:abstractNumId w:val="2"/>
  </w:num>
  <w:num w:numId="42">
    <w:abstractNumId w:val="4"/>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FC3"/>
    <w:rsid w:val="0000035C"/>
    <w:rsid w:val="0000077E"/>
    <w:rsid w:val="00002004"/>
    <w:rsid w:val="00011221"/>
    <w:rsid w:val="00014C62"/>
    <w:rsid w:val="00016DC0"/>
    <w:rsid w:val="0002217F"/>
    <w:rsid w:val="00022E1B"/>
    <w:rsid w:val="000234B2"/>
    <w:rsid w:val="00023836"/>
    <w:rsid w:val="000278C5"/>
    <w:rsid w:val="00033CCC"/>
    <w:rsid w:val="00035B4F"/>
    <w:rsid w:val="00042CE9"/>
    <w:rsid w:val="00056885"/>
    <w:rsid w:val="000902A6"/>
    <w:rsid w:val="00094444"/>
    <w:rsid w:val="000A5500"/>
    <w:rsid w:val="000D4834"/>
    <w:rsid w:val="000D4E78"/>
    <w:rsid w:val="000F20FA"/>
    <w:rsid w:val="000F72CE"/>
    <w:rsid w:val="001033A8"/>
    <w:rsid w:val="00111048"/>
    <w:rsid w:val="00132E02"/>
    <w:rsid w:val="001441A9"/>
    <w:rsid w:val="0014588D"/>
    <w:rsid w:val="001C1814"/>
    <w:rsid w:val="001C5090"/>
    <w:rsid w:val="001D0B51"/>
    <w:rsid w:val="001E34DC"/>
    <w:rsid w:val="0020264E"/>
    <w:rsid w:val="002072DB"/>
    <w:rsid w:val="002359EE"/>
    <w:rsid w:val="00263F8A"/>
    <w:rsid w:val="00265053"/>
    <w:rsid w:val="00266C23"/>
    <w:rsid w:val="0027296D"/>
    <w:rsid w:val="00275240"/>
    <w:rsid w:val="00277BA0"/>
    <w:rsid w:val="00292418"/>
    <w:rsid w:val="002A3B4D"/>
    <w:rsid w:val="002C4148"/>
    <w:rsid w:val="002D5462"/>
    <w:rsid w:val="002D7256"/>
    <w:rsid w:val="002D7D3E"/>
    <w:rsid w:val="002F5FCC"/>
    <w:rsid w:val="0030538C"/>
    <w:rsid w:val="003242EC"/>
    <w:rsid w:val="0032713B"/>
    <w:rsid w:val="003335D3"/>
    <w:rsid w:val="0035628F"/>
    <w:rsid w:val="00361174"/>
    <w:rsid w:val="00362E0E"/>
    <w:rsid w:val="00376C08"/>
    <w:rsid w:val="00377247"/>
    <w:rsid w:val="00393AEF"/>
    <w:rsid w:val="003C1FA7"/>
    <w:rsid w:val="003E4570"/>
    <w:rsid w:val="003E5A14"/>
    <w:rsid w:val="003E6E18"/>
    <w:rsid w:val="00412FC1"/>
    <w:rsid w:val="0041596A"/>
    <w:rsid w:val="00420A40"/>
    <w:rsid w:val="004271EA"/>
    <w:rsid w:val="00436A9B"/>
    <w:rsid w:val="00436EBF"/>
    <w:rsid w:val="004676D7"/>
    <w:rsid w:val="004708B5"/>
    <w:rsid w:val="00470BCB"/>
    <w:rsid w:val="004719A5"/>
    <w:rsid w:val="00472CA1"/>
    <w:rsid w:val="00474755"/>
    <w:rsid w:val="00475908"/>
    <w:rsid w:val="004A3ED8"/>
    <w:rsid w:val="004B41E7"/>
    <w:rsid w:val="004B7A55"/>
    <w:rsid w:val="004C53A6"/>
    <w:rsid w:val="004C64AB"/>
    <w:rsid w:val="004F4F80"/>
    <w:rsid w:val="00553D90"/>
    <w:rsid w:val="0056583F"/>
    <w:rsid w:val="00574C2A"/>
    <w:rsid w:val="00584CE6"/>
    <w:rsid w:val="00590CC7"/>
    <w:rsid w:val="0059124D"/>
    <w:rsid w:val="005950D5"/>
    <w:rsid w:val="00597DC1"/>
    <w:rsid w:val="005A356E"/>
    <w:rsid w:val="005C30F0"/>
    <w:rsid w:val="005D37E5"/>
    <w:rsid w:val="005E5144"/>
    <w:rsid w:val="0060404F"/>
    <w:rsid w:val="00607FAF"/>
    <w:rsid w:val="006270F0"/>
    <w:rsid w:val="00627D29"/>
    <w:rsid w:val="0063005A"/>
    <w:rsid w:val="00637E44"/>
    <w:rsid w:val="00640CD9"/>
    <w:rsid w:val="00655DC2"/>
    <w:rsid w:val="00662C8C"/>
    <w:rsid w:val="00670AB9"/>
    <w:rsid w:val="00673F07"/>
    <w:rsid w:val="00686FD6"/>
    <w:rsid w:val="00696119"/>
    <w:rsid w:val="006A50F8"/>
    <w:rsid w:val="006A7FA2"/>
    <w:rsid w:val="006C3C63"/>
    <w:rsid w:val="006F3D3B"/>
    <w:rsid w:val="006F7731"/>
    <w:rsid w:val="00715F5A"/>
    <w:rsid w:val="00723C89"/>
    <w:rsid w:val="00727176"/>
    <w:rsid w:val="0073122D"/>
    <w:rsid w:val="00757094"/>
    <w:rsid w:val="00760FC3"/>
    <w:rsid w:val="007664D0"/>
    <w:rsid w:val="00767C62"/>
    <w:rsid w:val="00776175"/>
    <w:rsid w:val="00784197"/>
    <w:rsid w:val="007D37BD"/>
    <w:rsid w:val="007E41ED"/>
    <w:rsid w:val="007F6A7E"/>
    <w:rsid w:val="00827E65"/>
    <w:rsid w:val="008319B6"/>
    <w:rsid w:val="008627C4"/>
    <w:rsid w:val="00863132"/>
    <w:rsid w:val="00863238"/>
    <w:rsid w:val="008907A0"/>
    <w:rsid w:val="00890F60"/>
    <w:rsid w:val="00892EF4"/>
    <w:rsid w:val="00893805"/>
    <w:rsid w:val="008A2128"/>
    <w:rsid w:val="008B0B86"/>
    <w:rsid w:val="008B32DA"/>
    <w:rsid w:val="008C5BBE"/>
    <w:rsid w:val="008E72EE"/>
    <w:rsid w:val="008F5243"/>
    <w:rsid w:val="00910731"/>
    <w:rsid w:val="00914F4A"/>
    <w:rsid w:val="00921435"/>
    <w:rsid w:val="009241F4"/>
    <w:rsid w:val="00930DBD"/>
    <w:rsid w:val="00931E89"/>
    <w:rsid w:val="00950BA5"/>
    <w:rsid w:val="00955FE7"/>
    <w:rsid w:val="00976E70"/>
    <w:rsid w:val="00980304"/>
    <w:rsid w:val="009803D1"/>
    <w:rsid w:val="0098556B"/>
    <w:rsid w:val="00992713"/>
    <w:rsid w:val="009A30AC"/>
    <w:rsid w:val="009C2743"/>
    <w:rsid w:val="009D1540"/>
    <w:rsid w:val="009D6AAB"/>
    <w:rsid w:val="009E0701"/>
    <w:rsid w:val="009F3EAD"/>
    <w:rsid w:val="009F483B"/>
    <w:rsid w:val="009F663A"/>
    <w:rsid w:val="00A20145"/>
    <w:rsid w:val="00A34F4C"/>
    <w:rsid w:val="00A35E45"/>
    <w:rsid w:val="00A41221"/>
    <w:rsid w:val="00A4146F"/>
    <w:rsid w:val="00A41FC7"/>
    <w:rsid w:val="00A50F2E"/>
    <w:rsid w:val="00A53332"/>
    <w:rsid w:val="00A6797E"/>
    <w:rsid w:val="00A7225E"/>
    <w:rsid w:val="00A81285"/>
    <w:rsid w:val="00A8563A"/>
    <w:rsid w:val="00A85700"/>
    <w:rsid w:val="00A929EF"/>
    <w:rsid w:val="00A94B5B"/>
    <w:rsid w:val="00AA4A05"/>
    <w:rsid w:val="00AB3E6B"/>
    <w:rsid w:val="00AB5392"/>
    <w:rsid w:val="00AC6DCF"/>
    <w:rsid w:val="00AE4B56"/>
    <w:rsid w:val="00AE7BB6"/>
    <w:rsid w:val="00B102E2"/>
    <w:rsid w:val="00B24070"/>
    <w:rsid w:val="00B25305"/>
    <w:rsid w:val="00B40FE9"/>
    <w:rsid w:val="00B47083"/>
    <w:rsid w:val="00B72EB2"/>
    <w:rsid w:val="00B77286"/>
    <w:rsid w:val="00B93E74"/>
    <w:rsid w:val="00BA2F23"/>
    <w:rsid w:val="00BB3C9D"/>
    <w:rsid w:val="00BC368C"/>
    <w:rsid w:val="00BE5B9D"/>
    <w:rsid w:val="00BF6729"/>
    <w:rsid w:val="00C0759B"/>
    <w:rsid w:val="00C31A17"/>
    <w:rsid w:val="00C3713A"/>
    <w:rsid w:val="00C37CA4"/>
    <w:rsid w:val="00C5115C"/>
    <w:rsid w:val="00C60C83"/>
    <w:rsid w:val="00C65ABD"/>
    <w:rsid w:val="00C9037A"/>
    <w:rsid w:val="00C90DC1"/>
    <w:rsid w:val="00C92492"/>
    <w:rsid w:val="00CA1CC5"/>
    <w:rsid w:val="00CB4C81"/>
    <w:rsid w:val="00CB7BE4"/>
    <w:rsid w:val="00CC020B"/>
    <w:rsid w:val="00CD0F8A"/>
    <w:rsid w:val="00CD631F"/>
    <w:rsid w:val="00CE593D"/>
    <w:rsid w:val="00CF28B0"/>
    <w:rsid w:val="00CF3312"/>
    <w:rsid w:val="00CF51B9"/>
    <w:rsid w:val="00D10522"/>
    <w:rsid w:val="00D2620C"/>
    <w:rsid w:val="00D32B31"/>
    <w:rsid w:val="00D34401"/>
    <w:rsid w:val="00D437DB"/>
    <w:rsid w:val="00D77104"/>
    <w:rsid w:val="00D90764"/>
    <w:rsid w:val="00D91AD0"/>
    <w:rsid w:val="00D93D2C"/>
    <w:rsid w:val="00D96C23"/>
    <w:rsid w:val="00DC12A0"/>
    <w:rsid w:val="00DD0431"/>
    <w:rsid w:val="00DD15A0"/>
    <w:rsid w:val="00DD1C01"/>
    <w:rsid w:val="00DD617A"/>
    <w:rsid w:val="00DF4B33"/>
    <w:rsid w:val="00E121F1"/>
    <w:rsid w:val="00E26052"/>
    <w:rsid w:val="00E30691"/>
    <w:rsid w:val="00E30BA4"/>
    <w:rsid w:val="00E5485F"/>
    <w:rsid w:val="00E551B4"/>
    <w:rsid w:val="00E82C6F"/>
    <w:rsid w:val="00E85E4C"/>
    <w:rsid w:val="00EB2E8C"/>
    <w:rsid w:val="00EB7A2D"/>
    <w:rsid w:val="00EC1B6B"/>
    <w:rsid w:val="00EC3791"/>
    <w:rsid w:val="00ED01F3"/>
    <w:rsid w:val="00EE3F04"/>
    <w:rsid w:val="00EF5B23"/>
    <w:rsid w:val="00F163AA"/>
    <w:rsid w:val="00F219FC"/>
    <w:rsid w:val="00F3287D"/>
    <w:rsid w:val="00F458C1"/>
    <w:rsid w:val="00F51110"/>
    <w:rsid w:val="00F5488F"/>
    <w:rsid w:val="00F6764F"/>
    <w:rsid w:val="00F8689F"/>
    <w:rsid w:val="00F94AE8"/>
    <w:rsid w:val="00F95617"/>
    <w:rsid w:val="00FA4F38"/>
    <w:rsid w:val="00FB1560"/>
    <w:rsid w:val="00FC751D"/>
    <w:rsid w:val="00FE4BE7"/>
    <w:rsid w:val="00FE7A5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554814"/>
  <w15:docId w15:val="{B2668180-E806-45A3-921D-AF7BC1003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492"/>
    <w:pPr>
      <w:spacing w:before="60" w:after="60" w:line="360" w:lineRule="auto"/>
      <w:jc w:val="both"/>
    </w:pPr>
  </w:style>
  <w:style w:type="paragraph" w:styleId="Titre1">
    <w:name w:val="heading 1"/>
    <w:aliases w:val="1 - Titre 1"/>
    <w:basedOn w:val="Normal"/>
    <w:next w:val="Normal"/>
    <w:link w:val="Titre1Car"/>
    <w:uiPriority w:val="9"/>
    <w:qFormat/>
    <w:rsid w:val="00C92492"/>
    <w:pPr>
      <w:keepNext/>
      <w:keepLines/>
      <w:numPr>
        <w:numId w:val="32"/>
      </w:numPr>
      <w:spacing w:before="240" w:after="120"/>
      <w:outlineLvl w:val="0"/>
    </w:pPr>
    <w:rPr>
      <w:rFonts w:eastAsiaTheme="majorEastAsia"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760FC3"/>
    <w:pPr>
      <w:keepNext/>
      <w:keepLines/>
      <w:numPr>
        <w:numId w:val="37"/>
      </w:numPr>
      <w:spacing w:before="200"/>
      <w:outlineLvl w:val="1"/>
    </w:pPr>
    <w:rPr>
      <w:rFonts w:eastAsiaTheme="majorEastAsia" w:cstheme="majorBidi"/>
      <w:b/>
      <w:bCs/>
      <w:color w:val="0F6FC6" w:themeColor="accent1"/>
      <w:sz w:val="26"/>
      <w:szCs w:val="26"/>
    </w:rPr>
  </w:style>
  <w:style w:type="paragraph" w:styleId="Titre3">
    <w:name w:val="heading 3"/>
    <w:basedOn w:val="Normal"/>
    <w:next w:val="Normal"/>
    <w:link w:val="Titre3Car"/>
    <w:uiPriority w:val="9"/>
    <w:unhideWhenUsed/>
    <w:qFormat/>
    <w:rsid w:val="00760FC3"/>
    <w:pPr>
      <w:keepNext/>
      <w:keepLines/>
      <w:numPr>
        <w:ilvl w:val="3"/>
        <w:numId w:val="31"/>
      </w:numPr>
      <w:spacing w:before="200" w:after="0"/>
      <w:outlineLvl w:val="2"/>
    </w:pPr>
    <w:rPr>
      <w:rFonts w:eastAsiaTheme="majorEastAsia" w:cstheme="majorBidi"/>
      <w:b/>
      <w:bCs/>
      <w:color w:val="0F6FC6"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1 - Titre 1 Car"/>
    <w:basedOn w:val="Policepardfaut"/>
    <w:link w:val="Titre1"/>
    <w:uiPriority w:val="9"/>
    <w:rsid w:val="00C92492"/>
    <w:rPr>
      <w:rFonts w:eastAsiaTheme="majorEastAsia" w:cstheme="majorBidi"/>
      <w:b/>
      <w:bCs/>
      <w:color w:val="0B5294" w:themeColor="accent1" w:themeShade="BF"/>
      <w:sz w:val="28"/>
      <w:szCs w:val="28"/>
    </w:rPr>
  </w:style>
  <w:style w:type="character" w:customStyle="1" w:styleId="Titre2Car">
    <w:name w:val="Titre 2 Car"/>
    <w:basedOn w:val="Policepardfaut"/>
    <w:link w:val="Titre2"/>
    <w:uiPriority w:val="9"/>
    <w:rsid w:val="00890F60"/>
    <w:rPr>
      <w:rFonts w:eastAsiaTheme="majorEastAsia" w:cstheme="majorBidi"/>
      <w:b/>
      <w:bCs/>
      <w:color w:val="0F6FC6" w:themeColor="accent1"/>
      <w:sz w:val="26"/>
      <w:szCs w:val="26"/>
    </w:rPr>
  </w:style>
  <w:style w:type="character" w:customStyle="1" w:styleId="Titre3Car">
    <w:name w:val="Titre 3 Car"/>
    <w:basedOn w:val="Policepardfaut"/>
    <w:link w:val="Titre3"/>
    <w:uiPriority w:val="9"/>
    <w:rsid w:val="00890F60"/>
    <w:rPr>
      <w:rFonts w:eastAsiaTheme="majorEastAsia" w:cstheme="majorBidi"/>
      <w:b/>
      <w:bCs/>
      <w:color w:val="0F6FC6" w:themeColor="accent1"/>
    </w:rPr>
  </w:style>
  <w:style w:type="paragraph" w:styleId="TM3">
    <w:name w:val="toc 3"/>
    <w:basedOn w:val="Normal"/>
    <w:next w:val="Normal"/>
    <w:autoRedefine/>
    <w:uiPriority w:val="39"/>
    <w:semiHidden/>
    <w:unhideWhenUsed/>
    <w:rsid w:val="00760FC3"/>
    <w:pPr>
      <w:spacing w:after="100"/>
      <w:ind w:left="480"/>
    </w:pPr>
  </w:style>
  <w:style w:type="paragraph" w:styleId="Titre">
    <w:name w:val="Title"/>
    <w:basedOn w:val="Normal"/>
    <w:next w:val="Normal"/>
    <w:link w:val="TitreCar"/>
    <w:uiPriority w:val="10"/>
    <w:rsid w:val="00760FC3"/>
    <w:pPr>
      <w:numPr>
        <w:numId w:val="31"/>
      </w:numPr>
      <w:pBdr>
        <w:bottom w:val="single" w:sz="8" w:space="4" w:color="0F6FC6" w:themeColor="accent1"/>
      </w:pBdr>
      <w:spacing w:before="0" w:after="300"/>
      <w:contextualSpacing/>
    </w:pPr>
    <w:rPr>
      <w:rFonts w:eastAsiaTheme="majorEastAsia" w:cstheme="majorBidi"/>
      <w:color w:val="03485B" w:themeColor="text2" w:themeShade="BF"/>
      <w:spacing w:val="5"/>
      <w:kern w:val="28"/>
      <w:sz w:val="52"/>
      <w:szCs w:val="52"/>
    </w:rPr>
  </w:style>
  <w:style w:type="character" w:customStyle="1" w:styleId="TitreCar">
    <w:name w:val="Titre Car"/>
    <w:basedOn w:val="Policepardfaut"/>
    <w:link w:val="Titre"/>
    <w:uiPriority w:val="10"/>
    <w:rsid w:val="00890F60"/>
    <w:rPr>
      <w:rFonts w:eastAsiaTheme="majorEastAsia" w:cstheme="majorBidi"/>
      <w:color w:val="03485B" w:themeColor="text2" w:themeShade="BF"/>
      <w:spacing w:val="5"/>
      <w:kern w:val="28"/>
      <w:sz w:val="52"/>
      <w:szCs w:val="52"/>
    </w:rPr>
  </w:style>
  <w:style w:type="paragraph" w:styleId="Sansinterligne">
    <w:name w:val="No Spacing"/>
    <w:uiPriority w:val="1"/>
    <w:rsid w:val="00760FC3"/>
  </w:style>
  <w:style w:type="paragraph" w:styleId="Paragraphedeliste">
    <w:name w:val="List Paragraph"/>
    <w:aliases w:val="Paragraphe Numerotation"/>
    <w:basedOn w:val="Normal"/>
    <w:next w:val="Listenumros"/>
    <w:autoRedefine/>
    <w:uiPriority w:val="34"/>
    <w:rsid w:val="004719A5"/>
    <w:pPr>
      <w:ind w:left="720"/>
      <w:jc w:val="center"/>
    </w:pPr>
    <w:rPr>
      <w:rFonts w:ascii="Adobe Devanagari" w:hAnsi="Adobe Devanagari" w:cs="Adobe Devanagari"/>
      <w:i/>
    </w:rPr>
  </w:style>
  <w:style w:type="paragraph" w:styleId="En-ttedetabledesmatires">
    <w:name w:val="TOC Heading"/>
    <w:basedOn w:val="Titre1"/>
    <w:next w:val="Normal"/>
    <w:uiPriority w:val="39"/>
    <w:unhideWhenUsed/>
    <w:rsid w:val="00760FC3"/>
    <w:pPr>
      <w:numPr>
        <w:numId w:val="0"/>
      </w:numPr>
      <w:spacing w:after="0" w:line="276" w:lineRule="auto"/>
      <w:outlineLvl w:val="9"/>
    </w:pPr>
    <w:rPr>
      <w:rFonts w:asciiTheme="majorHAnsi" w:hAnsiTheme="majorHAnsi"/>
    </w:rPr>
  </w:style>
  <w:style w:type="paragraph" w:customStyle="1" w:styleId="Default">
    <w:name w:val="Default"/>
    <w:rsid w:val="00760FC3"/>
    <w:pPr>
      <w:autoSpaceDE w:val="0"/>
      <w:autoSpaceDN w:val="0"/>
      <w:adjustRightInd w:val="0"/>
    </w:pPr>
    <w:rPr>
      <w:rFonts w:ascii="Verdana" w:hAnsi="Verdana" w:cs="Verdana"/>
      <w:color w:val="000000"/>
    </w:rPr>
  </w:style>
  <w:style w:type="paragraph" w:styleId="En-tte">
    <w:name w:val="header"/>
    <w:basedOn w:val="Normal"/>
    <w:link w:val="En-tteCar"/>
    <w:uiPriority w:val="99"/>
    <w:unhideWhenUsed/>
    <w:rsid w:val="00760FC3"/>
    <w:pPr>
      <w:tabs>
        <w:tab w:val="center" w:pos="4536"/>
        <w:tab w:val="right" w:pos="9072"/>
      </w:tabs>
      <w:spacing w:before="0" w:after="0"/>
    </w:pPr>
  </w:style>
  <w:style w:type="character" w:customStyle="1" w:styleId="En-tteCar">
    <w:name w:val="En-tête Car"/>
    <w:basedOn w:val="Policepardfaut"/>
    <w:link w:val="En-tte"/>
    <w:uiPriority w:val="99"/>
    <w:rsid w:val="00890F60"/>
  </w:style>
  <w:style w:type="table" w:styleId="Grilledutableau">
    <w:name w:val="Table Grid"/>
    <w:basedOn w:val="TableauNormal"/>
    <w:uiPriority w:val="59"/>
    <w:rsid w:val="00760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60FC3"/>
    <w:pPr>
      <w:spacing w:before="100" w:beforeAutospacing="1" w:after="100" w:afterAutospacing="1"/>
    </w:pPr>
    <w:rPr>
      <w:rFonts w:ascii="Times New Roman" w:eastAsia="Times New Roman" w:hAnsi="Times New Roman"/>
      <w:lang w:eastAsia="fr-FR"/>
    </w:rPr>
  </w:style>
  <w:style w:type="paragraph" w:styleId="Pieddepage">
    <w:name w:val="footer"/>
    <w:basedOn w:val="Normal"/>
    <w:link w:val="PieddepageCar"/>
    <w:uiPriority w:val="99"/>
    <w:unhideWhenUsed/>
    <w:rsid w:val="00760FC3"/>
    <w:pPr>
      <w:tabs>
        <w:tab w:val="center" w:pos="4536"/>
        <w:tab w:val="right" w:pos="9072"/>
      </w:tabs>
      <w:spacing w:before="0" w:after="0"/>
    </w:pPr>
  </w:style>
  <w:style w:type="character" w:customStyle="1" w:styleId="PieddepageCar">
    <w:name w:val="Pied de page Car"/>
    <w:basedOn w:val="Policepardfaut"/>
    <w:link w:val="Pieddepage"/>
    <w:uiPriority w:val="99"/>
    <w:rsid w:val="00890F60"/>
  </w:style>
  <w:style w:type="paragraph" w:styleId="Textedebulles">
    <w:name w:val="Balloon Text"/>
    <w:basedOn w:val="Normal"/>
    <w:link w:val="TextedebullesCar"/>
    <w:uiPriority w:val="99"/>
    <w:semiHidden/>
    <w:unhideWhenUsed/>
    <w:rsid w:val="00760FC3"/>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890F60"/>
    <w:rPr>
      <w:rFonts w:ascii="Tahoma" w:hAnsi="Tahoma" w:cs="Tahoma"/>
      <w:sz w:val="16"/>
      <w:szCs w:val="16"/>
    </w:rPr>
  </w:style>
  <w:style w:type="character" w:styleId="Textedelespacerserv">
    <w:name w:val="Placeholder Text"/>
    <w:basedOn w:val="Policepardfaut"/>
    <w:uiPriority w:val="99"/>
    <w:semiHidden/>
    <w:rsid w:val="00760FC3"/>
    <w:rPr>
      <w:color w:val="808080"/>
    </w:rPr>
  </w:style>
  <w:style w:type="paragraph" w:styleId="Listenumros">
    <w:name w:val="List Number"/>
    <w:basedOn w:val="Normal"/>
    <w:uiPriority w:val="99"/>
    <w:semiHidden/>
    <w:unhideWhenUsed/>
    <w:rsid w:val="00760FC3"/>
    <w:pPr>
      <w:numPr>
        <w:numId w:val="25"/>
      </w:numPr>
      <w:contextualSpacing/>
    </w:pPr>
  </w:style>
  <w:style w:type="paragraph" w:styleId="Corpsdetexte">
    <w:name w:val="Body Text"/>
    <w:basedOn w:val="Normal"/>
    <w:link w:val="CorpsdetexteCar"/>
    <w:rsid w:val="00760FC3"/>
    <w:pPr>
      <w:spacing w:before="0" w:after="57"/>
    </w:pPr>
    <w:rPr>
      <w:sz w:val="20"/>
    </w:rPr>
  </w:style>
  <w:style w:type="character" w:customStyle="1" w:styleId="CorpsdetexteCar">
    <w:name w:val="Corps de texte Car"/>
    <w:basedOn w:val="Policepardfaut"/>
    <w:link w:val="Corpsdetexte"/>
    <w:rsid w:val="00890F60"/>
    <w:rPr>
      <w:sz w:val="20"/>
    </w:rPr>
  </w:style>
  <w:style w:type="character" w:customStyle="1" w:styleId="Caractresdenotedebasdepage">
    <w:name w:val="Caractères de note de bas de page"/>
    <w:rsid w:val="00760FC3"/>
  </w:style>
  <w:style w:type="character" w:customStyle="1" w:styleId="Caractresdenumrotation">
    <w:name w:val="Caractères de numérotation"/>
    <w:rsid w:val="00760FC3"/>
  </w:style>
  <w:style w:type="character" w:customStyle="1" w:styleId="Puces">
    <w:name w:val="Puces"/>
    <w:rsid w:val="00760FC3"/>
    <w:rPr>
      <w:rFonts w:ascii="StarSymbol" w:eastAsia="StarSymbol" w:hAnsi="StarSymbol" w:cs="StarSymbol"/>
      <w:sz w:val="18"/>
      <w:szCs w:val="18"/>
    </w:rPr>
  </w:style>
  <w:style w:type="character" w:customStyle="1" w:styleId="Caractresdenotedefin">
    <w:name w:val="Caractères de note de fin"/>
    <w:rsid w:val="00760FC3"/>
  </w:style>
  <w:style w:type="character" w:customStyle="1" w:styleId="RTFNum21">
    <w:name w:val="RTF_Num 2 1"/>
    <w:rsid w:val="00760FC3"/>
    <w:rPr>
      <w:rFonts w:ascii="Times New Roman" w:eastAsia="Times New Roman" w:hAnsi="Times New Roman" w:cs="Times New Roman"/>
    </w:rPr>
  </w:style>
  <w:style w:type="character" w:customStyle="1" w:styleId="Policepardfaut1">
    <w:name w:val="Police par défaut1"/>
    <w:basedOn w:val="Policepardfaut"/>
    <w:rsid w:val="00760FC3"/>
    <w:rPr>
      <w:rFonts w:ascii="Times New Roman" w:eastAsia="Lucida Sans Unicode" w:hAnsi="Times New Roman" w:cs="Tahoma"/>
      <w:sz w:val="24"/>
      <w:szCs w:val="24"/>
      <w:lang w:val="fr-FR"/>
    </w:rPr>
  </w:style>
  <w:style w:type="paragraph" w:customStyle="1" w:styleId="Question">
    <w:name w:val="Question"/>
    <w:basedOn w:val="Paragraphedeliste"/>
    <w:qFormat/>
    <w:rsid w:val="00760FC3"/>
    <w:pPr>
      <w:ind w:left="0"/>
    </w:pPr>
  </w:style>
  <w:style w:type="character" w:customStyle="1" w:styleId="RTFNum31">
    <w:name w:val="RTF_Num 3 1"/>
    <w:rsid w:val="00760FC3"/>
  </w:style>
  <w:style w:type="character" w:customStyle="1" w:styleId="RTFNum32">
    <w:name w:val="RTF_Num 3 2"/>
    <w:rsid w:val="00760FC3"/>
  </w:style>
  <w:style w:type="character" w:customStyle="1" w:styleId="RTFNum33">
    <w:name w:val="RTF_Num 3 3"/>
    <w:rsid w:val="00760FC3"/>
  </w:style>
  <w:style w:type="character" w:customStyle="1" w:styleId="RTFNum34">
    <w:name w:val="RTF_Num 3 4"/>
    <w:rsid w:val="00760FC3"/>
  </w:style>
  <w:style w:type="character" w:customStyle="1" w:styleId="RTFNum35">
    <w:name w:val="RTF_Num 3 5"/>
    <w:rsid w:val="00760FC3"/>
  </w:style>
  <w:style w:type="character" w:customStyle="1" w:styleId="RTFNum36">
    <w:name w:val="RTF_Num 3 6"/>
    <w:rsid w:val="00760FC3"/>
  </w:style>
  <w:style w:type="character" w:customStyle="1" w:styleId="RTFNum37">
    <w:name w:val="RTF_Num 3 7"/>
    <w:rsid w:val="00760FC3"/>
  </w:style>
  <w:style w:type="character" w:customStyle="1" w:styleId="RTFNum38">
    <w:name w:val="RTF_Num 3 8"/>
    <w:rsid w:val="00760FC3"/>
  </w:style>
  <w:style w:type="character" w:customStyle="1" w:styleId="RTFNum39">
    <w:name w:val="RTF_Num 3 9"/>
    <w:rsid w:val="00760FC3"/>
  </w:style>
  <w:style w:type="paragraph" w:customStyle="1" w:styleId="Titre10">
    <w:name w:val="Titre1"/>
    <w:basedOn w:val="Normal"/>
    <w:next w:val="Corpsdetexte"/>
    <w:rsid w:val="00760FC3"/>
    <w:pPr>
      <w:keepNext/>
      <w:spacing w:before="240"/>
    </w:pPr>
    <w:rPr>
      <w:rFonts w:eastAsia="Lucida Sans Unicode" w:cs="Tahoma"/>
      <w:sz w:val="28"/>
      <w:szCs w:val="28"/>
    </w:rPr>
  </w:style>
  <w:style w:type="paragraph" w:customStyle="1" w:styleId="Contenudetableau">
    <w:name w:val="Contenu de tableau"/>
    <w:basedOn w:val="Normal"/>
    <w:rsid w:val="00760FC3"/>
    <w:pPr>
      <w:suppressLineNumbers/>
    </w:pPr>
  </w:style>
  <w:style w:type="paragraph" w:customStyle="1" w:styleId="Titredetableau">
    <w:name w:val="Titre de tableau"/>
    <w:basedOn w:val="Contenudetableau"/>
    <w:rsid w:val="00760FC3"/>
    <w:pPr>
      <w:jc w:val="center"/>
    </w:pPr>
    <w:rPr>
      <w:b/>
      <w:bCs/>
      <w:i/>
      <w:iCs/>
      <w:sz w:val="32"/>
    </w:rPr>
  </w:style>
  <w:style w:type="paragraph" w:customStyle="1" w:styleId="Lgende1">
    <w:name w:val="Légende1"/>
    <w:basedOn w:val="Normal"/>
    <w:rsid w:val="00760FC3"/>
    <w:pPr>
      <w:suppressLineNumbers/>
    </w:pPr>
    <w:rPr>
      <w:rFonts w:cs="Tahoma"/>
      <w:i/>
      <w:iCs/>
      <w:sz w:val="20"/>
      <w:szCs w:val="20"/>
    </w:rPr>
  </w:style>
  <w:style w:type="paragraph" w:customStyle="1" w:styleId="Index">
    <w:name w:val="Index"/>
    <w:basedOn w:val="Normal"/>
    <w:rsid w:val="00760FC3"/>
    <w:pPr>
      <w:suppressLineNumbers/>
    </w:pPr>
    <w:rPr>
      <w:rFonts w:cs="Tahoma"/>
    </w:rPr>
  </w:style>
  <w:style w:type="paragraph" w:customStyle="1" w:styleId="ContenutableauGrasCentr">
    <w:name w:val="Contenu tableau Gras Centré"/>
    <w:basedOn w:val="Contenudetableau"/>
    <w:rsid w:val="00760FC3"/>
    <w:pPr>
      <w:jc w:val="center"/>
    </w:pPr>
    <w:rPr>
      <w:b/>
    </w:rPr>
  </w:style>
  <w:style w:type="paragraph" w:customStyle="1" w:styleId="ContenutableauGauche">
    <w:name w:val="Contenu tableau Gauche"/>
    <w:basedOn w:val="Contenudetableau"/>
    <w:rsid w:val="00760FC3"/>
  </w:style>
  <w:style w:type="paragraph" w:customStyle="1" w:styleId="ContenutableauItalique">
    <w:name w:val="Contenu tableau Italique"/>
    <w:basedOn w:val="Contenudetableau"/>
    <w:rsid w:val="00760FC3"/>
    <w:pPr>
      <w:spacing w:before="0" w:after="57"/>
    </w:pPr>
    <w:rPr>
      <w:i/>
    </w:rPr>
  </w:style>
  <w:style w:type="paragraph" w:customStyle="1" w:styleId="Contenutableauitaliquecentr">
    <w:name w:val="Contenu tableau italique centré"/>
    <w:basedOn w:val="ContenutableauItalique"/>
    <w:rsid w:val="00760FC3"/>
    <w:pPr>
      <w:jc w:val="center"/>
    </w:pPr>
  </w:style>
  <w:style w:type="paragraph" w:customStyle="1" w:styleId="ContenutableauGIcentr">
    <w:name w:val="Contenu tableau G+I centré"/>
    <w:basedOn w:val="Contenutableauitaliquecentr"/>
    <w:rsid w:val="00760FC3"/>
    <w:rPr>
      <w:b/>
    </w:rPr>
  </w:style>
  <w:style w:type="paragraph" w:customStyle="1" w:styleId="Puce">
    <w:name w:val="Puce"/>
    <w:basedOn w:val="Question"/>
    <w:qFormat/>
    <w:rsid w:val="00760FC3"/>
    <w:pPr>
      <w:numPr>
        <w:numId w:val="27"/>
      </w:numPr>
    </w:pPr>
  </w:style>
  <w:style w:type="paragraph" w:customStyle="1" w:styleId="ContenutableauGras">
    <w:name w:val="Contenu tableau Gras"/>
    <w:basedOn w:val="Contenudetableau"/>
    <w:rsid w:val="00760FC3"/>
    <w:pPr>
      <w:jc w:val="center"/>
    </w:pPr>
    <w:rPr>
      <w:b/>
    </w:rPr>
  </w:style>
  <w:style w:type="paragraph" w:customStyle="1" w:styleId="Ressources">
    <w:name w:val="Ressources"/>
    <w:basedOn w:val="ContenutableauItalique"/>
    <w:qFormat/>
    <w:rsid w:val="00760FC3"/>
    <w:pPr>
      <w:numPr>
        <w:numId w:val="28"/>
      </w:numPr>
      <w:spacing w:after="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4409">
      <w:bodyDiv w:val="1"/>
      <w:marLeft w:val="0"/>
      <w:marRight w:val="0"/>
      <w:marTop w:val="0"/>
      <w:marBottom w:val="0"/>
      <w:divBdr>
        <w:top w:val="none" w:sz="0" w:space="0" w:color="auto"/>
        <w:left w:val="none" w:sz="0" w:space="0" w:color="auto"/>
        <w:bottom w:val="none" w:sz="0" w:space="0" w:color="auto"/>
        <w:right w:val="none" w:sz="0" w:space="0" w:color="auto"/>
      </w:divBdr>
    </w:div>
    <w:div w:id="95291574">
      <w:bodyDiv w:val="1"/>
      <w:marLeft w:val="0"/>
      <w:marRight w:val="0"/>
      <w:marTop w:val="0"/>
      <w:marBottom w:val="0"/>
      <w:divBdr>
        <w:top w:val="none" w:sz="0" w:space="0" w:color="auto"/>
        <w:left w:val="none" w:sz="0" w:space="0" w:color="auto"/>
        <w:bottom w:val="none" w:sz="0" w:space="0" w:color="auto"/>
        <w:right w:val="none" w:sz="0" w:space="0" w:color="auto"/>
      </w:divBdr>
      <w:divsChild>
        <w:div w:id="1705330690">
          <w:marLeft w:val="0"/>
          <w:marRight w:val="0"/>
          <w:marTop w:val="0"/>
          <w:marBottom w:val="0"/>
          <w:divBdr>
            <w:top w:val="none" w:sz="0" w:space="0" w:color="auto"/>
            <w:left w:val="none" w:sz="0" w:space="0" w:color="auto"/>
            <w:bottom w:val="none" w:sz="0" w:space="0" w:color="auto"/>
            <w:right w:val="none" w:sz="0" w:space="0" w:color="auto"/>
          </w:divBdr>
        </w:div>
      </w:divsChild>
    </w:div>
    <w:div w:id="234514136">
      <w:bodyDiv w:val="1"/>
      <w:marLeft w:val="0"/>
      <w:marRight w:val="0"/>
      <w:marTop w:val="0"/>
      <w:marBottom w:val="0"/>
      <w:divBdr>
        <w:top w:val="none" w:sz="0" w:space="0" w:color="auto"/>
        <w:left w:val="none" w:sz="0" w:space="0" w:color="auto"/>
        <w:bottom w:val="none" w:sz="0" w:space="0" w:color="auto"/>
        <w:right w:val="none" w:sz="0" w:space="0" w:color="auto"/>
      </w:divBdr>
      <w:divsChild>
        <w:div w:id="975257108">
          <w:marLeft w:val="0"/>
          <w:marRight w:val="0"/>
          <w:marTop w:val="0"/>
          <w:marBottom w:val="0"/>
          <w:divBdr>
            <w:top w:val="none" w:sz="0" w:space="0" w:color="auto"/>
            <w:left w:val="none" w:sz="0" w:space="0" w:color="auto"/>
            <w:bottom w:val="none" w:sz="0" w:space="0" w:color="auto"/>
            <w:right w:val="none" w:sz="0" w:space="0" w:color="auto"/>
          </w:divBdr>
        </w:div>
        <w:div w:id="719015371">
          <w:marLeft w:val="0"/>
          <w:marRight w:val="0"/>
          <w:marTop w:val="0"/>
          <w:marBottom w:val="0"/>
          <w:divBdr>
            <w:top w:val="none" w:sz="0" w:space="0" w:color="auto"/>
            <w:left w:val="none" w:sz="0" w:space="0" w:color="auto"/>
            <w:bottom w:val="none" w:sz="0" w:space="0" w:color="auto"/>
            <w:right w:val="none" w:sz="0" w:space="0" w:color="auto"/>
          </w:divBdr>
          <w:divsChild>
            <w:div w:id="1965037310">
              <w:marLeft w:val="0"/>
              <w:marRight w:val="0"/>
              <w:marTop w:val="0"/>
              <w:marBottom w:val="0"/>
              <w:divBdr>
                <w:top w:val="none" w:sz="0" w:space="0" w:color="auto"/>
                <w:left w:val="none" w:sz="0" w:space="0" w:color="auto"/>
                <w:bottom w:val="none" w:sz="0" w:space="0" w:color="auto"/>
                <w:right w:val="none" w:sz="0" w:space="0" w:color="auto"/>
              </w:divBdr>
              <w:divsChild>
                <w:div w:id="48532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42405">
      <w:bodyDiv w:val="1"/>
      <w:marLeft w:val="0"/>
      <w:marRight w:val="0"/>
      <w:marTop w:val="0"/>
      <w:marBottom w:val="0"/>
      <w:divBdr>
        <w:top w:val="none" w:sz="0" w:space="0" w:color="auto"/>
        <w:left w:val="none" w:sz="0" w:space="0" w:color="auto"/>
        <w:bottom w:val="none" w:sz="0" w:space="0" w:color="auto"/>
        <w:right w:val="none" w:sz="0" w:space="0" w:color="auto"/>
      </w:divBdr>
    </w:div>
    <w:div w:id="955985683">
      <w:bodyDiv w:val="1"/>
      <w:marLeft w:val="0"/>
      <w:marRight w:val="0"/>
      <w:marTop w:val="0"/>
      <w:marBottom w:val="0"/>
      <w:divBdr>
        <w:top w:val="none" w:sz="0" w:space="0" w:color="auto"/>
        <w:left w:val="none" w:sz="0" w:space="0" w:color="auto"/>
        <w:bottom w:val="none" w:sz="0" w:space="0" w:color="auto"/>
        <w:right w:val="none" w:sz="0" w:space="0" w:color="auto"/>
      </w:divBdr>
    </w:div>
    <w:div w:id="1563298203">
      <w:bodyDiv w:val="1"/>
      <w:marLeft w:val="0"/>
      <w:marRight w:val="0"/>
      <w:marTop w:val="0"/>
      <w:marBottom w:val="0"/>
      <w:divBdr>
        <w:top w:val="none" w:sz="0" w:space="0" w:color="auto"/>
        <w:left w:val="none" w:sz="0" w:space="0" w:color="auto"/>
        <w:bottom w:val="none" w:sz="0" w:space="0" w:color="auto"/>
        <w:right w:val="none" w:sz="0" w:space="0" w:color="auto"/>
      </w:divBdr>
    </w:div>
    <w:div w:id="178056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A3B586B23B64512BC6716620F8C52D4"/>
        <w:category>
          <w:name w:val="Général"/>
          <w:gallery w:val="placeholder"/>
        </w:category>
        <w:types>
          <w:type w:val="bbPlcHdr"/>
        </w:types>
        <w:behaviors>
          <w:behavior w:val="content"/>
        </w:behaviors>
        <w:guid w:val="{65FB2952-70EE-4481-B1F9-BB96FE66FABE}"/>
      </w:docPartPr>
      <w:docPartBody>
        <w:p w:rsidR="00311CF3" w:rsidRDefault="00C708C0" w:rsidP="00C708C0">
          <w:pPr>
            <w:pStyle w:val="BA3B586B23B64512BC6716620F8C52D4"/>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Segoe UI Symbol"/>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iandra GD">
    <w:panose1 w:val="020E0502030308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
  <w:rsids>
    <w:rsidRoot w:val="00C708C0"/>
    <w:rsid w:val="002856AB"/>
    <w:rsid w:val="00311CF3"/>
    <w:rsid w:val="00536DA5"/>
    <w:rsid w:val="00704550"/>
    <w:rsid w:val="00C708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3B586B23B64512BC6716620F8C52D4">
    <w:name w:val="BA3B586B23B64512BC6716620F8C52D4"/>
    <w:rsid w:val="00C708C0"/>
  </w:style>
  <w:style w:type="paragraph" w:customStyle="1" w:styleId="9B09AEDFACFB417E9BA93CE2982AFA4F">
    <w:name w:val="9B09AEDFACFB417E9BA93CE2982AFA4F"/>
    <w:rsid w:val="00C708C0"/>
  </w:style>
  <w:style w:type="character" w:styleId="Textedelespacerserv">
    <w:name w:val="Placeholder Text"/>
    <w:basedOn w:val="Policepardfaut"/>
    <w:uiPriority w:val="99"/>
    <w:semiHidden/>
    <w:rsid w:val="002856A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hème Office">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1009</Words>
  <Characters>5555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Traitement d’une information analogique</vt:lpstr>
    </vt:vector>
  </TitlesOfParts>
  <Company/>
  <LinksUpToDate>false</LinksUpToDate>
  <CharactersWithSpaces>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Traitement d’une information analogique</dc:title>
  <dc:creator>Grégoire</dc:creator>
  <cp:lastModifiedBy>Pierre VIOLET</cp:lastModifiedBy>
  <cp:revision>2</cp:revision>
  <dcterms:created xsi:type="dcterms:W3CDTF">2017-10-11T21:00:00Z</dcterms:created>
  <dcterms:modified xsi:type="dcterms:W3CDTF">2017-10-11T21:00:00Z</dcterms:modified>
</cp:coreProperties>
</file>